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ED31F" w14:textId="5AFCDC72" w:rsidR="006D0F09" w:rsidRPr="003349A1" w:rsidRDefault="00DC2B69" w:rsidP="003349A1">
      <w:pPr>
        <w:spacing w:after="0" w:line="240" w:lineRule="auto"/>
        <w:jc w:val="both"/>
        <w:rPr>
          <w:rFonts w:ascii="Times New Roman" w:eastAsia="Times New Roman" w:hAnsi="Times New Roman" w:cs="Times New Roman"/>
          <w:b/>
          <w:bCs/>
          <w:sz w:val="24"/>
          <w:szCs w:val="24"/>
        </w:rPr>
      </w:pPr>
      <w:r w:rsidRPr="003349A1">
        <w:rPr>
          <w:rFonts w:ascii="Times New Roman" w:eastAsia="Times New Roman" w:hAnsi="Times New Roman" w:cs="Times New Roman"/>
          <w:b/>
          <w:bCs/>
          <w:sz w:val="24"/>
          <w:szCs w:val="24"/>
        </w:rPr>
        <w:t>BANKRUPTCY OF FOREIGN COMPANIES IN INDONESIA: A JURIDICAL ANALYSIS OF THE JURISDICTION AND RECOGNITION OF FOREIGN BANKRUPTCY JUDGMENTS</w:t>
      </w:r>
    </w:p>
    <w:p w14:paraId="56D44C4D" w14:textId="77777777" w:rsidR="00642641" w:rsidRPr="003349A1" w:rsidRDefault="00642641" w:rsidP="00642641">
      <w:pPr>
        <w:spacing w:after="0" w:line="240" w:lineRule="auto"/>
        <w:jc w:val="center"/>
        <w:rPr>
          <w:rFonts w:ascii="Times New Roman" w:eastAsia="Times New Roman" w:hAnsi="Times New Roman" w:cs="Times New Roman"/>
          <w:b/>
          <w:bCs/>
          <w:sz w:val="24"/>
          <w:szCs w:val="24"/>
        </w:rPr>
      </w:pPr>
    </w:p>
    <w:p w14:paraId="07316A5A" w14:textId="5A9C3722" w:rsidR="00642641" w:rsidRPr="003349A1" w:rsidRDefault="00642641" w:rsidP="003349A1">
      <w:pPr>
        <w:spacing w:after="0" w:line="240" w:lineRule="auto"/>
        <w:jc w:val="both"/>
        <w:rPr>
          <w:rFonts w:ascii="Times New Roman" w:eastAsia="Times New Roman" w:hAnsi="Times New Roman" w:cs="Times New Roman"/>
          <w:b/>
          <w:bCs/>
          <w:sz w:val="24"/>
          <w:szCs w:val="24"/>
        </w:rPr>
      </w:pPr>
      <w:r w:rsidRPr="003349A1">
        <w:rPr>
          <w:rFonts w:ascii="Times New Roman" w:eastAsia="Times New Roman" w:hAnsi="Times New Roman" w:cs="Times New Roman"/>
          <w:b/>
          <w:bCs/>
          <w:sz w:val="24"/>
          <w:szCs w:val="24"/>
        </w:rPr>
        <w:t xml:space="preserve">Patar </w:t>
      </w:r>
      <w:proofErr w:type="spellStart"/>
      <w:r w:rsidRPr="003349A1">
        <w:rPr>
          <w:rFonts w:ascii="Times New Roman" w:eastAsia="Times New Roman" w:hAnsi="Times New Roman" w:cs="Times New Roman"/>
          <w:b/>
          <w:bCs/>
          <w:sz w:val="24"/>
          <w:szCs w:val="24"/>
        </w:rPr>
        <w:t>Bronson</w:t>
      </w:r>
      <w:proofErr w:type="spellEnd"/>
      <w:r w:rsidRPr="003349A1">
        <w:rPr>
          <w:rFonts w:ascii="Times New Roman" w:eastAsia="Times New Roman" w:hAnsi="Times New Roman" w:cs="Times New Roman"/>
          <w:b/>
          <w:bCs/>
          <w:sz w:val="24"/>
          <w:szCs w:val="24"/>
        </w:rPr>
        <w:t xml:space="preserve"> Sitinjak</w:t>
      </w:r>
      <w:r w:rsidR="003349A1" w:rsidRPr="003349A1">
        <w:rPr>
          <w:rFonts w:ascii="Times New Roman" w:eastAsia="Times New Roman" w:hAnsi="Times New Roman" w:cs="Times New Roman"/>
          <w:b/>
          <w:bCs/>
          <w:sz w:val="24"/>
          <w:szCs w:val="24"/>
          <w:vertAlign w:val="superscript"/>
        </w:rPr>
        <w:t>1</w:t>
      </w:r>
      <w:r w:rsidR="00F45C58" w:rsidRPr="003349A1">
        <w:rPr>
          <w:rFonts w:ascii="Times New Roman" w:eastAsia="Times New Roman" w:hAnsi="Times New Roman" w:cs="Times New Roman"/>
          <w:b/>
          <w:bCs/>
          <w:sz w:val="24"/>
          <w:szCs w:val="24"/>
        </w:rPr>
        <w:t>, Lucky Ferdiles</w:t>
      </w:r>
      <w:r w:rsidR="003349A1" w:rsidRPr="003349A1">
        <w:rPr>
          <w:rFonts w:ascii="Times New Roman" w:eastAsia="Times New Roman" w:hAnsi="Times New Roman" w:cs="Times New Roman"/>
          <w:b/>
          <w:bCs/>
          <w:sz w:val="24"/>
          <w:szCs w:val="24"/>
          <w:vertAlign w:val="superscript"/>
        </w:rPr>
        <w:t>2</w:t>
      </w:r>
    </w:p>
    <w:p w14:paraId="3DAA7728" w14:textId="66301BCA" w:rsidR="00642641" w:rsidRPr="003349A1" w:rsidRDefault="00642641" w:rsidP="003349A1">
      <w:pPr>
        <w:spacing w:after="0" w:line="240" w:lineRule="auto"/>
        <w:jc w:val="both"/>
        <w:rPr>
          <w:rFonts w:ascii="Times New Roman" w:eastAsia="Times New Roman" w:hAnsi="Times New Roman" w:cs="Times New Roman"/>
          <w:sz w:val="24"/>
          <w:szCs w:val="24"/>
        </w:rPr>
      </w:pPr>
      <w:r w:rsidRPr="003349A1">
        <w:rPr>
          <w:rFonts w:ascii="Times New Roman" w:eastAsia="Times New Roman" w:hAnsi="Times New Roman" w:cs="Times New Roman"/>
          <w:sz w:val="24"/>
          <w:szCs w:val="24"/>
        </w:rPr>
        <w:t>Borobudur University</w:t>
      </w:r>
      <w:r w:rsidR="003349A1" w:rsidRPr="003349A1">
        <w:rPr>
          <w:rFonts w:ascii="Times New Roman" w:eastAsia="Times New Roman" w:hAnsi="Times New Roman" w:cs="Times New Roman"/>
          <w:sz w:val="24"/>
          <w:szCs w:val="24"/>
          <w:vertAlign w:val="superscript"/>
        </w:rPr>
        <w:t>1</w:t>
      </w:r>
      <w:r w:rsidR="003349A1">
        <w:rPr>
          <w:rFonts w:ascii="Times New Roman" w:eastAsia="Times New Roman" w:hAnsi="Times New Roman" w:cs="Times New Roman"/>
          <w:sz w:val="24"/>
          <w:szCs w:val="24"/>
        </w:rPr>
        <w:t>, Borobudur University</w:t>
      </w:r>
      <w:r w:rsidR="003349A1" w:rsidRPr="003349A1">
        <w:rPr>
          <w:rFonts w:ascii="Times New Roman" w:eastAsia="Times New Roman" w:hAnsi="Times New Roman" w:cs="Times New Roman"/>
          <w:sz w:val="24"/>
          <w:szCs w:val="24"/>
          <w:vertAlign w:val="superscript"/>
        </w:rPr>
        <w:t>2</w:t>
      </w:r>
    </w:p>
    <w:p w14:paraId="44991CEE" w14:textId="2E96C627" w:rsidR="002A2FCB" w:rsidRPr="003349A1" w:rsidRDefault="003349A1" w:rsidP="003349A1">
      <w:pPr>
        <w:spacing w:after="0" w:line="240" w:lineRule="auto"/>
        <w:jc w:val="both"/>
        <w:rPr>
          <w:rFonts w:ascii="Times New Roman" w:eastAsia="Times New Roman" w:hAnsi="Times New Roman" w:cs="Times New Roman"/>
          <w:sz w:val="24"/>
          <w:szCs w:val="24"/>
        </w:rPr>
      </w:pPr>
      <w:r w:rsidRPr="003349A1">
        <w:rPr>
          <w:rFonts w:ascii="Times New Roman" w:hAnsi="Times New Roman" w:cs="Times New Roman"/>
          <w:sz w:val="24"/>
          <w:szCs w:val="24"/>
        </w:rPr>
        <w:t xml:space="preserve">Email : </w:t>
      </w:r>
      <w:hyperlink r:id="rId8" w:history="1">
        <w:r w:rsidRPr="00453AE9">
          <w:rPr>
            <w:rStyle w:val="Hyperlink"/>
            <w:rFonts w:ascii="Times New Roman" w:eastAsia="Times New Roman" w:hAnsi="Times New Roman" w:cs="Times New Roman"/>
            <w:sz w:val="24"/>
            <w:szCs w:val="24"/>
          </w:rPr>
          <w:t>Patarbronson75@gmail.com</w:t>
        </w:r>
      </w:hyperlink>
      <w:r w:rsidRPr="003349A1">
        <w:rPr>
          <w:rStyle w:val="Hyperlink"/>
          <w:rFonts w:ascii="Times New Roman" w:hAnsi="Times New Roman" w:cs="Times New Roman"/>
          <w:sz w:val="24"/>
          <w:szCs w:val="24"/>
          <w:vertAlign w:val="superscript"/>
        </w:rPr>
        <w:t>1</w:t>
      </w:r>
      <w:r w:rsidR="002A2FCB" w:rsidRPr="003349A1">
        <w:rPr>
          <w:rStyle w:val="Hyperlink"/>
        </w:rPr>
        <w:t xml:space="preserve"> </w:t>
      </w:r>
      <w:r w:rsidR="00F45C58" w:rsidRPr="003349A1">
        <w:rPr>
          <w:rFonts w:ascii="Times New Roman" w:eastAsia="Times New Roman" w:hAnsi="Times New Roman" w:cs="Times New Roman"/>
          <w:sz w:val="24"/>
          <w:szCs w:val="24"/>
        </w:rPr>
        <w:t xml:space="preserve">, </w:t>
      </w:r>
      <w:hyperlink r:id="rId9" w:history="1">
        <w:r w:rsidR="00F45C58" w:rsidRPr="003349A1">
          <w:rPr>
            <w:rStyle w:val="Hyperlink"/>
            <w:rFonts w:ascii="Times New Roman" w:eastAsia="Times New Roman" w:hAnsi="Times New Roman" w:cs="Times New Roman"/>
            <w:sz w:val="24"/>
            <w:szCs w:val="24"/>
          </w:rPr>
          <w:t>lucky_ferdiles@borobudur.ac.id</w:t>
        </w:r>
      </w:hyperlink>
      <w:r w:rsidRPr="003349A1">
        <w:rPr>
          <w:rStyle w:val="Hyperlink"/>
          <w:rFonts w:ascii="Times New Roman" w:eastAsia="Times New Roman" w:hAnsi="Times New Roman" w:cs="Times New Roman"/>
          <w:sz w:val="24"/>
          <w:szCs w:val="24"/>
          <w:vertAlign w:val="superscript"/>
        </w:rPr>
        <w:t>2</w:t>
      </w:r>
    </w:p>
    <w:p w14:paraId="7E65BC41" w14:textId="77777777" w:rsidR="002A2FCB" w:rsidRPr="00642641" w:rsidRDefault="002A2FCB" w:rsidP="00642641">
      <w:pPr>
        <w:spacing w:after="0" w:line="240" w:lineRule="auto"/>
        <w:jc w:val="cente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010"/>
      </w:tblGrid>
      <w:tr w:rsidR="003349A1" w:rsidRPr="00E809A7" w14:paraId="71380804" w14:textId="77777777" w:rsidTr="00625A8E">
        <w:trPr>
          <w:trHeight w:val="640"/>
        </w:trPr>
        <w:tc>
          <w:tcPr>
            <w:tcW w:w="9010" w:type="dxa"/>
            <w:vAlign w:val="center"/>
          </w:tcPr>
          <w:p w14:paraId="018762AC" w14:textId="3B25AF52" w:rsidR="003349A1" w:rsidRPr="00E809A7" w:rsidRDefault="003349A1" w:rsidP="00625A8E">
            <w:pPr>
              <w:jc w:val="center"/>
              <w:rPr>
                <w:rFonts w:ascii="Times New Roman" w:eastAsia="Palatino Linotype" w:hAnsi="Times New Roman" w:cs="Times New Roman"/>
                <w:noProof/>
                <w:sz w:val="20"/>
                <w:szCs w:val="20"/>
                <w:lang w:val="id-ID"/>
              </w:rPr>
            </w:pPr>
            <w:r w:rsidRPr="00E809A7">
              <w:rPr>
                <w:rFonts w:ascii="Times New Roman" w:eastAsia="Palatino Linotype" w:hAnsi="Times New Roman" w:cs="Times New Roman"/>
                <w:b/>
                <w:noProof/>
                <w:sz w:val="20"/>
                <w:szCs w:val="20"/>
                <w:lang w:val="id-ID"/>
              </w:rPr>
              <w:t>Cititation</w:t>
            </w:r>
            <w:r w:rsidRPr="00E809A7">
              <w:rPr>
                <w:rFonts w:ascii="Times New Roman" w:eastAsia="Palatino Linotype" w:hAnsi="Times New Roman" w:cs="Times New Roman"/>
                <w:noProof/>
                <w:sz w:val="20"/>
                <w:szCs w:val="20"/>
                <w:lang w:val="id-ID"/>
              </w:rPr>
              <w:t xml:space="preserve">: </w:t>
            </w:r>
            <w:r w:rsidRPr="005C0BBA">
              <w:rPr>
                <w:rFonts w:ascii="Times New Roman" w:eastAsia="Palatino Linotype" w:hAnsi="Times New Roman" w:cs="Times New Roman"/>
                <w:noProof/>
                <w:sz w:val="20"/>
                <w:szCs w:val="20"/>
                <w:lang w:val="id-ID"/>
              </w:rPr>
              <w:t>Patar Bronson Sitinjak</w:t>
            </w:r>
            <w:r w:rsidRPr="00E809A7">
              <w:rPr>
                <w:rFonts w:ascii="Times New Roman" w:eastAsia="Palatino Linotype" w:hAnsi="Times New Roman" w:cs="Times New Roman"/>
                <w:noProof/>
                <w:sz w:val="20"/>
                <w:szCs w:val="20"/>
                <w:lang w:val="id-ID"/>
              </w:rPr>
              <w:t>.</w:t>
            </w:r>
            <w:r>
              <w:rPr>
                <w:rFonts w:ascii="Times New Roman" w:eastAsia="Palatino Linotype" w:hAnsi="Times New Roman" w:cs="Times New Roman"/>
                <w:noProof/>
                <w:sz w:val="20"/>
                <w:szCs w:val="20"/>
                <w:lang w:val="id-ID"/>
              </w:rPr>
              <w:t>, Lucky Ferdiles.</w:t>
            </w:r>
            <w:r w:rsidRPr="00E809A7">
              <w:rPr>
                <w:rFonts w:ascii="Times New Roman" w:eastAsia="Palatino Linotype" w:hAnsi="Times New Roman" w:cs="Times New Roman"/>
                <w:noProof/>
                <w:sz w:val="20"/>
                <w:szCs w:val="20"/>
                <w:lang w:val="id-ID"/>
              </w:rPr>
              <w:t xml:space="preserve"> </w:t>
            </w:r>
            <w:r w:rsidRPr="005C0BBA">
              <w:rPr>
                <w:rFonts w:ascii="Times New Roman" w:eastAsia="Palatino Linotype" w:hAnsi="Times New Roman" w:cs="Times New Roman"/>
                <w:noProof/>
                <w:sz w:val="20"/>
                <w:szCs w:val="20"/>
                <w:lang w:val="id-ID"/>
              </w:rPr>
              <w:t>Bankruptcy Of Foreign Companies In Indonesia: A Juridical Analysis Of The Jurisdiction And Recognition Of Foreign Bankruptcy Judgments</w:t>
            </w:r>
            <w:r w:rsidRPr="00E809A7">
              <w:rPr>
                <w:rFonts w:ascii="Times New Roman" w:eastAsia="Palatino Linotype" w:hAnsi="Times New Roman" w:cs="Times New Roman"/>
                <w:noProof/>
                <w:sz w:val="20"/>
                <w:szCs w:val="20"/>
                <w:lang w:val="id-ID"/>
              </w:rPr>
              <w:t>.</w:t>
            </w:r>
            <w:r w:rsidRPr="00E809A7">
              <w:rPr>
                <w:rFonts w:ascii="Times New Roman" w:eastAsia="Palatino Linotype" w:hAnsi="Times New Roman" w:cs="Times New Roman"/>
                <w:noProof/>
                <w:color w:val="FFFFFF" w:themeColor="background1"/>
                <w:sz w:val="20"/>
                <w:szCs w:val="20"/>
                <w:lang w:val="id-ID"/>
              </w:rPr>
              <w:t>”</w:t>
            </w:r>
            <w:r w:rsidRPr="00E809A7">
              <w:rPr>
                <w:rFonts w:ascii="Times New Roman" w:hAnsi="Times New Roman" w:cs="Times New Roman"/>
                <w:i/>
                <w:noProof/>
                <w:sz w:val="20"/>
                <w:szCs w:val="20"/>
                <w:lang w:val="id-ID"/>
              </w:rPr>
              <w:t>MALA IN SE: Jurnal Hukum Pidana, Kriminologi dan Viktimologi</w:t>
            </w:r>
            <w:r w:rsidRPr="00E809A7">
              <w:rPr>
                <w:rFonts w:ascii="Times New Roman" w:hAnsi="Times New Roman" w:cs="Times New Roman"/>
                <w:noProof/>
                <w:sz w:val="20"/>
                <w:szCs w:val="20"/>
                <w:lang w:val="id-ID"/>
              </w:rPr>
              <w:t xml:space="preserve"> 3.1.2026. 1</w:t>
            </w:r>
            <w:r>
              <w:rPr>
                <w:rFonts w:ascii="Times New Roman" w:hAnsi="Times New Roman" w:cs="Times New Roman"/>
                <w:noProof/>
                <w:sz w:val="20"/>
                <w:szCs w:val="20"/>
                <w:lang w:val="id-ID"/>
              </w:rPr>
              <w:t>17-12</w:t>
            </w:r>
            <w:r w:rsidR="00C71A51">
              <w:rPr>
                <w:rFonts w:ascii="Times New Roman" w:hAnsi="Times New Roman" w:cs="Times New Roman"/>
                <w:noProof/>
                <w:sz w:val="20"/>
                <w:szCs w:val="20"/>
                <w:lang w:val="id-ID"/>
              </w:rPr>
              <w:t>5</w:t>
            </w:r>
          </w:p>
          <w:p w14:paraId="41E1098C" w14:textId="77777777" w:rsidR="003349A1" w:rsidRPr="00E809A7" w:rsidRDefault="003349A1" w:rsidP="00625A8E">
            <w:pPr>
              <w:jc w:val="center"/>
              <w:rPr>
                <w:rFonts w:ascii="Times New Roman" w:eastAsia="Palatino Linotype" w:hAnsi="Times New Roman" w:cs="Times New Roman"/>
                <w:b/>
                <w:noProof/>
                <w:sz w:val="28"/>
                <w:szCs w:val="28"/>
                <w:lang w:val="id-ID"/>
              </w:rPr>
            </w:pPr>
            <w:r w:rsidRPr="00E809A7">
              <w:rPr>
                <w:rFonts w:ascii="Times New Roman" w:eastAsia="Palatino Linotype" w:hAnsi="Times New Roman" w:cs="Times New Roman"/>
                <w:b/>
                <w:noProof/>
                <w:sz w:val="20"/>
                <w:szCs w:val="20"/>
                <w:lang w:val="id-ID"/>
              </w:rPr>
              <w:t>Submitted:</w:t>
            </w:r>
            <w:r w:rsidRPr="00E809A7">
              <w:rPr>
                <w:rFonts w:ascii="Times New Roman" w:eastAsia="Palatino Linotype" w:hAnsi="Times New Roman" w:cs="Times New Roman"/>
                <w:bCs/>
                <w:noProof/>
                <w:sz w:val="20"/>
                <w:szCs w:val="20"/>
                <w:lang w:val="id-ID"/>
              </w:rPr>
              <w:t>02-01-2026</w:t>
            </w:r>
            <w:r w:rsidRPr="00E809A7">
              <w:rPr>
                <w:rFonts w:ascii="Times New Roman" w:eastAsia="Palatino Linotype" w:hAnsi="Times New Roman" w:cs="Times New Roman"/>
                <w:noProof/>
                <w:sz w:val="20"/>
                <w:szCs w:val="20"/>
                <w:lang w:val="id-ID"/>
              </w:rPr>
              <w:t xml:space="preserve"> </w:t>
            </w:r>
            <w:r w:rsidRPr="00E809A7">
              <w:rPr>
                <w:rFonts w:ascii="Times New Roman" w:eastAsia="Palatino Linotype" w:hAnsi="Times New Roman" w:cs="Times New Roman"/>
                <w:b/>
                <w:noProof/>
                <w:sz w:val="20"/>
                <w:szCs w:val="20"/>
                <w:lang w:val="id-ID"/>
              </w:rPr>
              <w:t xml:space="preserve">     Revised:</w:t>
            </w:r>
            <w:r w:rsidRPr="00E809A7">
              <w:rPr>
                <w:rFonts w:ascii="Times New Roman" w:eastAsia="Palatino Linotype" w:hAnsi="Times New Roman" w:cs="Times New Roman"/>
                <w:bCs/>
                <w:noProof/>
                <w:sz w:val="20"/>
                <w:szCs w:val="20"/>
                <w:lang w:val="id-ID"/>
              </w:rPr>
              <w:t>01</w:t>
            </w:r>
            <w:r w:rsidRPr="00E809A7">
              <w:rPr>
                <w:rFonts w:ascii="Times New Roman" w:eastAsia="Palatino Linotype" w:hAnsi="Times New Roman" w:cs="Times New Roman"/>
                <w:noProof/>
                <w:sz w:val="20"/>
                <w:szCs w:val="20"/>
                <w:lang w:val="id-ID"/>
              </w:rPr>
              <w:t>-03-2026</w:t>
            </w:r>
            <w:r w:rsidRPr="00E809A7">
              <w:rPr>
                <w:rFonts w:ascii="Times New Roman" w:eastAsia="Palatino Linotype" w:hAnsi="Times New Roman" w:cs="Times New Roman"/>
                <w:b/>
                <w:noProof/>
                <w:sz w:val="20"/>
                <w:szCs w:val="20"/>
                <w:lang w:val="id-ID"/>
              </w:rPr>
              <w:t xml:space="preserve">     Accepted:</w:t>
            </w:r>
            <w:r w:rsidRPr="00E809A7">
              <w:rPr>
                <w:rFonts w:ascii="Times New Roman" w:eastAsia="Palatino Linotype" w:hAnsi="Times New Roman" w:cs="Times New Roman"/>
                <w:bCs/>
                <w:noProof/>
                <w:sz w:val="20"/>
                <w:szCs w:val="20"/>
                <w:lang w:val="id-ID"/>
              </w:rPr>
              <w:t>01</w:t>
            </w:r>
            <w:r w:rsidRPr="00E809A7">
              <w:rPr>
                <w:rFonts w:ascii="Times New Roman" w:eastAsia="Palatino Linotype" w:hAnsi="Times New Roman" w:cs="Times New Roman"/>
                <w:noProof/>
                <w:sz w:val="20"/>
                <w:szCs w:val="20"/>
                <w:lang w:val="id-ID"/>
              </w:rPr>
              <w:t>-04-2026</w:t>
            </w:r>
          </w:p>
        </w:tc>
      </w:tr>
    </w:tbl>
    <w:p w14:paraId="666B6498" w14:textId="77777777" w:rsidR="003349A1" w:rsidRDefault="003349A1">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p>
    <w:p w14:paraId="63B7C576" w14:textId="1F60FA34" w:rsidR="006D0F09" w:rsidRPr="002A2FCB" w:rsidRDefault="002B6BC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proofErr w:type="spellStart"/>
      <w:r w:rsidRPr="002A2FCB">
        <w:rPr>
          <w:rFonts w:ascii="Times New Roman" w:eastAsia="Times New Roman" w:hAnsi="Times New Roman" w:cs="Times New Roman"/>
          <w:b/>
          <w:bCs/>
          <w:color w:val="000000"/>
          <w:sz w:val="20"/>
          <w:szCs w:val="20"/>
        </w:rPr>
        <w:t>Abstract</w:t>
      </w:r>
      <w:proofErr w:type="spellEnd"/>
    </w:p>
    <w:p w14:paraId="79C2EDDB" w14:textId="77777777" w:rsidR="00807E37" w:rsidRDefault="00807E37" w:rsidP="00D91069">
      <w:pPr>
        <w:spacing w:after="0" w:line="240" w:lineRule="auto"/>
        <w:jc w:val="both"/>
        <w:rPr>
          <w:rFonts w:ascii="Times New Roman" w:eastAsia="Times New Roman" w:hAnsi="Times New Roman" w:cs="Times New Roman"/>
          <w:sz w:val="20"/>
          <w:szCs w:val="20"/>
        </w:rPr>
      </w:pPr>
      <w:r w:rsidRPr="00807E37">
        <w:rPr>
          <w:rFonts w:ascii="Times New Roman" w:eastAsia="Times New Roman" w:hAnsi="Times New Roman" w:cs="Times New Roman"/>
          <w:sz w:val="20"/>
          <w:szCs w:val="20"/>
        </w:rPr>
        <w:t>The increasing penetration of multinational enterprises into the Indonesian market poses intricate legal dilemmas, especially in cases of corporate insolvency. This investigation assesses the authority of Indonesia's Commercial Courts in adjudicating the bankruptcy proceedings of overseas firms and evaluates the acknowledgment of extraterritorial bankruptcy rulings under private international law principles. Employing a normative juridical methodology that incorporates statutory and conceptual analyses, the inquiry relies on primary legal sources such as statutes, supplemented by secondary materials including academic literature. The results reveal that Commercial Courts exercise jurisdiction over foreign debtors predicated on their conduct of business operations within Indonesia. Nonetheless, this authority is confined to territorial boundaries, rendering the recovery of assets situated overseas effectively impossible. Moreover, prevailing Indonesian legislation lacks explicit provisions for recognizing foreign bankruptcy judgments. Consequently, these rulings serve merely as supportive evidence and lack direct enforceability absent an international treaty or the doctrine of reciprocity. This legislative shortfall substantially undermines safeguards for creditors in transnational dealings, underscoring the pressing imperative for Indonesia to enact the UNCITRAL Model Law on Cross-Border Insolvency as a pivotal reform measure.</w:t>
      </w:r>
    </w:p>
    <w:p w14:paraId="7257AD55" w14:textId="07F2696B" w:rsidR="006D0F09" w:rsidRPr="00D91069" w:rsidRDefault="002B6BCF" w:rsidP="00D91069">
      <w:pPr>
        <w:spacing w:after="0" w:line="240" w:lineRule="auto"/>
        <w:jc w:val="both"/>
        <w:rPr>
          <w:rFonts w:ascii="Times New Roman" w:eastAsia="Times New Roman" w:hAnsi="Times New Roman" w:cs="Times New Roman"/>
          <w:sz w:val="24"/>
          <w:szCs w:val="24"/>
        </w:rPr>
      </w:pPr>
      <w:r w:rsidRPr="005625E7">
        <w:rPr>
          <w:rFonts w:ascii="Times New Roman" w:eastAsia="Times New Roman" w:hAnsi="Times New Roman" w:cs="Times New Roman"/>
          <w:b/>
          <w:bCs/>
          <w:sz w:val="20"/>
          <w:szCs w:val="20"/>
        </w:rPr>
        <w:t xml:space="preserve">Keywords: </w:t>
      </w:r>
      <w:r w:rsidR="00397B48" w:rsidRPr="005625E7">
        <w:rPr>
          <w:rFonts w:ascii="Times New Roman" w:eastAsia="Times New Roman" w:hAnsi="Times New Roman" w:cs="Times New Roman"/>
          <w:sz w:val="20"/>
          <w:szCs w:val="20"/>
        </w:rPr>
        <w:t xml:space="preserve">cross-border insolvency; bankruptcy; foreign judgment recognition; jurisdiction; reciprocity </w:t>
      </w:r>
    </w:p>
    <w:p w14:paraId="5AE1EB8C" w14:textId="77777777" w:rsidR="006D0F09" w:rsidRDefault="006D0F09">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18"/>
          <w:szCs w:val="18"/>
        </w:rPr>
      </w:pPr>
    </w:p>
    <w:p w14:paraId="281633ED" w14:textId="77777777" w:rsidR="006D0F09" w:rsidRDefault="006D0F09">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18"/>
          <w:szCs w:val="18"/>
        </w:rPr>
      </w:pPr>
    </w:p>
    <w:p w14:paraId="411A3E42" w14:textId="732EFE2A" w:rsidR="00DC2B69" w:rsidRPr="00DC2B69" w:rsidRDefault="002B6BCF" w:rsidP="00DC2B69">
      <w:pPr>
        <w:numPr>
          <w:ilvl w:val="0"/>
          <w:numId w:val="2"/>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INTRODUCTION</w:t>
      </w:r>
    </w:p>
    <w:p w14:paraId="4060B945" w14:textId="3D19314A" w:rsidR="00D91069" w:rsidRPr="00807E37" w:rsidRDefault="00807E37" w:rsidP="00807E37">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807E37">
        <w:rPr>
          <w:rFonts w:ascii="Times New Roman" w:eastAsia="Times New Roman" w:hAnsi="Times New Roman" w:cs="Times New Roman"/>
          <w:color w:val="000000"/>
          <w:sz w:val="24"/>
          <w:szCs w:val="24"/>
        </w:rPr>
        <w:t>The escalating forces of the worldwide economy have spurred the extensive proliferation of multinational corporations across diverse legal domains, encompassing Indonesia. While the entry of these transnational enterprises delivers substantial investment advantages, it simultaneously introduces profound legal intricacies, particularly amid insolvency or bankruptcy scenarios involving foreign firms. This concern holds paramount importance, given that Indonesia's framework for bankruptcy regulation—governed by Law No. 37 of 2004 on Bankruptcy and Suspension of Debt Payment Obligations (KPKPU Law)—retains a predominantly domestic focus and has yet to comprehensively address the nuances of cross-border insolvency</w:t>
      </w:r>
      <w:r w:rsidR="00203CAF">
        <w:rPr>
          <w:rStyle w:val="FootnoteReference"/>
          <w:rFonts w:ascii="Times New Roman" w:eastAsia="Times New Roman" w:hAnsi="Times New Roman" w:cs="Times New Roman"/>
          <w:color w:val="000000"/>
          <w:sz w:val="24"/>
          <w:szCs w:val="24"/>
        </w:rPr>
        <w:footnoteReference w:id="1"/>
      </w:r>
      <w:r w:rsidR="00DC2B69" w:rsidRPr="00DC2B69">
        <w:rPr>
          <w:rFonts w:ascii="Times New Roman" w:eastAsia="Times New Roman" w:hAnsi="Times New Roman" w:cs="Times New Roman"/>
          <w:color w:val="000000"/>
          <w:sz w:val="24"/>
          <w:szCs w:val="24"/>
        </w:rPr>
        <w:t xml:space="preserve"> has not explicitly accommodated </w:t>
      </w:r>
      <w:r w:rsidR="00DC2B69" w:rsidRPr="00DC2B69">
        <w:rPr>
          <w:rFonts w:ascii="Times New Roman" w:eastAsia="Times New Roman" w:hAnsi="Times New Roman" w:cs="Times New Roman"/>
          <w:i/>
          <w:iCs/>
          <w:color w:val="000000"/>
          <w:sz w:val="24"/>
          <w:szCs w:val="24"/>
        </w:rPr>
        <w:t xml:space="preserve"> a comprehensive </w:t>
      </w:r>
      <w:r w:rsidR="00D74C53">
        <w:rPr>
          <w:rFonts w:ascii="Times New Roman" w:eastAsia="Times New Roman" w:hAnsi="Times New Roman" w:cs="Times New Roman"/>
          <w:color w:val="000000"/>
          <w:sz w:val="24"/>
          <w:szCs w:val="24"/>
        </w:rPr>
        <w:t>cross-border insolvency mechanism.</w:t>
      </w:r>
      <w:r w:rsidR="00203CAF">
        <w:rPr>
          <w:rStyle w:val="FootnoteReference"/>
          <w:rFonts w:ascii="Times New Roman" w:eastAsia="Times New Roman" w:hAnsi="Times New Roman" w:cs="Times New Roman"/>
          <w:color w:val="000000"/>
          <w:sz w:val="24"/>
          <w:szCs w:val="24"/>
        </w:rPr>
        <w:footnoteReference w:id="2"/>
      </w:r>
      <w:r w:rsidR="00DC2B69" w:rsidRPr="00DC2B69">
        <w:rPr>
          <w:rFonts w:ascii="Times New Roman" w:eastAsia="Times New Roman" w:hAnsi="Times New Roman" w:cs="Times New Roman"/>
          <w:color w:val="000000"/>
          <w:sz w:val="24"/>
          <w:szCs w:val="24"/>
        </w:rPr>
        <w:t xml:space="preserve"> The incompleteness of this regulation is the starting point of juridical problems that require in-depth study.</w:t>
      </w:r>
    </w:p>
    <w:p w14:paraId="1E77BAF3" w14:textId="3232D33C" w:rsidR="00DC2B69" w:rsidRPr="00DC2B69" w:rsidRDefault="00D91069" w:rsidP="00D9106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D91069">
        <w:rPr>
          <w:rFonts w:ascii="Times New Roman" w:eastAsia="Times New Roman" w:hAnsi="Times New Roman" w:cs="Times New Roman"/>
          <w:color w:val="000000"/>
          <w:sz w:val="24"/>
          <w:szCs w:val="24"/>
        </w:rPr>
        <w:lastRenderedPageBreak/>
        <w:t>Theoretically, cross-border insolvency is based on two main approaches: universalism and territorialism. The universalist approach advocates a single forum with authority over all of a debtor’s assets worldwide, while the territorialist approach confines the effect of bankruptcy decisions to the jurisdiction of the country where the judgment is issued.</w:t>
      </w:r>
      <w:r w:rsidR="00203CAF">
        <w:rPr>
          <w:rStyle w:val="FootnoteReference"/>
          <w:rFonts w:ascii="Times New Roman" w:eastAsia="Times New Roman" w:hAnsi="Times New Roman" w:cs="Times New Roman"/>
          <w:color w:val="000000"/>
          <w:sz w:val="24"/>
          <w:szCs w:val="24"/>
        </w:rPr>
        <w:footnoteReference w:id="3"/>
      </w:r>
      <w:r w:rsidR="00DC2B69" w:rsidRPr="00DC2B69">
        <w:rPr>
          <w:rFonts w:ascii="Times New Roman" w:eastAsia="Times New Roman" w:hAnsi="Times New Roman" w:cs="Times New Roman"/>
          <w:color w:val="000000"/>
          <w:sz w:val="24"/>
          <w:szCs w:val="24"/>
        </w:rPr>
        <w:t xml:space="preserve"> </w:t>
      </w:r>
      <w:r w:rsidR="00807E37" w:rsidRPr="00807E37">
        <w:rPr>
          <w:rFonts w:ascii="Times New Roman" w:eastAsia="Times New Roman" w:hAnsi="Times New Roman" w:cs="Times New Roman"/>
          <w:color w:val="000000"/>
          <w:sz w:val="24"/>
          <w:szCs w:val="24"/>
        </w:rPr>
        <w:t>In actual application, Indonesia adheres to the territoriality principle, whereby bankruptcy rulings from foreign courts receive neither automatic recognition nor enforceability within its territory. This approach diverges from that of nations embracing the UNCITRAL Model Law on Cross-Border Insolvency 1997, which establishes a more systematic and holistic framework for the acknowledgment and execution of extraterritorial bankruptcy judgments</w:t>
      </w:r>
      <w:r w:rsidR="00DC2B69" w:rsidRPr="00DC2B69">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4"/>
      </w:r>
    </w:p>
    <w:p w14:paraId="262686A3" w14:textId="77777777" w:rsidR="00807E37" w:rsidRDefault="00807E37" w:rsidP="00D9106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807E37">
        <w:rPr>
          <w:rFonts w:ascii="Times New Roman" w:eastAsia="Times New Roman" w:hAnsi="Times New Roman" w:cs="Times New Roman"/>
          <w:color w:val="000000"/>
          <w:sz w:val="24"/>
          <w:szCs w:val="24"/>
        </w:rPr>
        <w:t>This research addresses two principal issues: firstly, the establishment of jurisdiction for Indonesian courts in adjudicating and resolving bankruptcy proceedings involving foreign corporations; secondly, the evaluation of mechanisms for recognizing foreign bankruptcy judgments in Indonesia, analyzed through the lens of private international law.</w:t>
      </w:r>
    </w:p>
    <w:p w14:paraId="6084E409" w14:textId="45E610FD" w:rsidR="00DC2B69" w:rsidRPr="00D91069" w:rsidRDefault="00D91069" w:rsidP="00D91069">
      <w:pPr>
        <w:pBdr>
          <w:top w:val="nil"/>
          <w:left w:val="nil"/>
          <w:bottom w:val="nil"/>
          <w:right w:val="nil"/>
          <w:between w:val="nil"/>
        </w:pBdr>
        <w:spacing w:after="0" w:line="360" w:lineRule="auto"/>
        <w:ind w:firstLine="426"/>
        <w:jc w:val="both"/>
        <w:rPr>
          <w:rFonts w:ascii="Times New Roman" w:eastAsia="Times New Roman" w:hAnsi="Times New Roman" w:cs="Times New Roman"/>
          <w:i/>
          <w:iCs/>
          <w:color w:val="000000"/>
          <w:sz w:val="24"/>
          <w:szCs w:val="24"/>
          <w:lang w:val="en-ID"/>
        </w:rPr>
      </w:pPr>
      <w:r w:rsidRPr="00D91069">
        <w:rPr>
          <w:rFonts w:ascii="Times New Roman" w:eastAsia="Times New Roman" w:hAnsi="Times New Roman" w:cs="Times New Roman"/>
          <w:color w:val="000000"/>
          <w:sz w:val="24"/>
          <w:szCs w:val="24"/>
          <w:lang w:val="en-ID"/>
        </w:rPr>
        <w:t xml:space="preserve">The gap analysis in this study reveals a significant disparity between das </w:t>
      </w:r>
      <w:proofErr w:type="spellStart"/>
      <w:r w:rsidRPr="00D91069">
        <w:rPr>
          <w:rFonts w:ascii="Times New Roman" w:eastAsia="Times New Roman" w:hAnsi="Times New Roman" w:cs="Times New Roman"/>
          <w:color w:val="000000"/>
          <w:sz w:val="24"/>
          <w:szCs w:val="24"/>
          <w:lang w:val="en-ID"/>
        </w:rPr>
        <w:t>sollen</w:t>
      </w:r>
      <w:proofErr w:type="spellEnd"/>
      <w:r w:rsidRPr="00D91069">
        <w:rPr>
          <w:rFonts w:ascii="Times New Roman" w:eastAsia="Times New Roman" w:hAnsi="Times New Roman" w:cs="Times New Roman"/>
          <w:color w:val="000000"/>
          <w:sz w:val="24"/>
          <w:szCs w:val="24"/>
          <w:lang w:val="en-ID"/>
        </w:rPr>
        <w:t xml:space="preserve"> (what ought to be) and das sein (what is). Normatively, there should be clear legal provisions governing jurisdiction, recognition, and enforcement of foreign bankruptcy judgments to ensure legal certainty for both creditors and debtors. However, in practice, the KPKPU Law only partially accommodates the international aspects of insolvency, leaving Indonesian courts to confront a legal vacuum (</w:t>
      </w:r>
      <w:proofErr w:type="spellStart"/>
      <w:r w:rsidRPr="00D91069">
        <w:rPr>
          <w:rFonts w:ascii="Times New Roman" w:eastAsia="Times New Roman" w:hAnsi="Times New Roman" w:cs="Times New Roman"/>
          <w:color w:val="000000"/>
          <w:sz w:val="24"/>
          <w:szCs w:val="24"/>
          <w:lang w:val="en-ID"/>
        </w:rPr>
        <w:t>rechtsvacuum</w:t>
      </w:r>
      <w:proofErr w:type="spellEnd"/>
      <w:r w:rsidRPr="00D91069">
        <w:rPr>
          <w:rFonts w:ascii="Times New Roman" w:eastAsia="Times New Roman" w:hAnsi="Times New Roman" w:cs="Times New Roman"/>
          <w:color w:val="000000"/>
          <w:sz w:val="24"/>
          <w:szCs w:val="24"/>
          <w:lang w:val="en-ID"/>
        </w:rPr>
        <w:t>) when handling cross-border bankruptcy cases</w:t>
      </w:r>
      <w:r w:rsidR="00DC2B69" w:rsidRPr="00D91069">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5"/>
      </w:r>
      <w:r w:rsidR="00DC2B69" w:rsidRPr="00DC2B69">
        <w:rPr>
          <w:rFonts w:ascii="Times New Roman" w:eastAsia="Times New Roman" w:hAnsi="Times New Roman" w:cs="Times New Roman"/>
          <w:color w:val="000000"/>
          <w:sz w:val="24"/>
          <w:szCs w:val="24"/>
        </w:rPr>
        <w:t xml:space="preserve"> The absence of bilateral and multilateral instruments that bind Indonesia in the context of </w:t>
      </w:r>
      <w:r w:rsidR="00DC2B69" w:rsidRPr="00DC2B69">
        <w:rPr>
          <w:rFonts w:ascii="Times New Roman" w:eastAsia="Times New Roman" w:hAnsi="Times New Roman" w:cs="Times New Roman"/>
          <w:i/>
          <w:iCs/>
          <w:color w:val="000000"/>
          <w:sz w:val="24"/>
          <w:szCs w:val="24"/>
        </w:rPr>
        <w:t xml:space="preserve">cross-border insolvency </w:t>
      </w:r>
      <w:r w:rsidR="00DC2B69" w:rsidRPr="00DC2B69">
        <w:rPr>
          <w:rFonts w:ascii="Times New Roman" w:eastAsia="Times New Roman" w:hAnsi="Times New Roman" w:cs="Times New Roman"/>
          <w:color w:val="000000"/>
          <w:sz w:val="24"/>
          <w:szCs w:val="24"/>
        </w:rPr>
        <w:t>further exacerbates this condition.</w:t>
      </w:r>
      <w:r w:rsidR="00203CAF">
        <w:rPr>
          <w:rStyle w:val="FootnoteReference"/>
          <w:rFonts w:ascii="Times New Roman" w:eastAsia="Times New Roman" w:hAnsi="Times New Roman" w:cs="Times New Roman"/>
          <w:color w:val="000000"/>
          <w:sz w:val="24"/>
          <w:szCs w:val="24"/>
        </w:rPr>
        <w:footnoteReference w:id="6"/>
      </w:r>
    </w:p>
    <w:p w14:paraId="68A7F90A" w14:textId="77777777" w:rsidR="00D91069" w:rsidRDefault="00D91069" w:rsidP="00D9106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D91069">
        <w:rPr>
          <w:rFonts w:ascii="Times New Roman" w:eastAsia="Times New Roman" w:hAnsi="Times New Roman" w:cs="Times New Roman"/>
          <w:color w:val="000000"/>
          <w:sz w:val="24"/>
          <w:szCs w:val="24"/>
          <w:lang w:val="en-ID"/>
        </w:rPr>
        <w:t xml:space="preserve">In terms of state of the art, this study differentiates itself from prior research, which generally focuses on domestic bankruptcy issues or addresses cross-border insolvency in broad terms without specifically examining jurisdictional construction and the mechanisms for </w:t>
      </w:r>
      <w:r w:rsidRPr="00D91069">
        <w:rPr>
          <w:rFonts w:ascii="Times New Roman" w:eastAsia="Times New Roman" w:hAnsi="Times New Roman" w:cs="Times New Roman"/>
          <w:color w:val="000000"/>
          <w:sz w:val="24"/>
          <w:szCs w:val="24"/>
          <w:lang w:val="en-ID"/>
        </w:rPr>
        <w:lastRenderedPageBreak/>
        <w:t>recognizing foreign judgments within the Indonesian legal system</w:t>
      </w:r>
      <w:r w:rsidR="00DC2B69" w:rsidRPr="00DC2B69">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7"/>
      </w:r>
      <w:r w:rsidR="00DC2B69" w:rsidRPr="00DC2B69">
        <w:rPr>
          <w:rFonts w:ascii="Times New Roman" w:eastAsia="Times New Roman" w:hAnsi="Times New Roman" w:cs="Times New Roman"/>
          <w:color w:val="000000"/>
          <w:sz w:val="24"/>
          <w:szCs w:val="24"/>
        </w:rPr>
        <w:t xml:space="preserve"> This study integrates a comparative analysis of the adoption of </w:t>
      </w:r>
      <w:r w:rsidR="00DC2B69" w:rsidRPr="00DC2B69">
        <w:rPr>
          <w:rFonts w:ascii="Times New Roman" w:eastAsia="Times New Roman" w:hAnsi="Times New Roman" w:cs="Times New Roman"/>
          <w:i/>
          <w:iCs/>
          <w:color w:val="000000"/>
          <w:sz w:val="24"/>
          <w:szCs w:val="24"/>
        </w:rPr>
        <w:t>the UNCITRAL Model Law</w:t>
      </w:r>
      <w:r w:rsidR="00DC2B69" w:rsidRPr="00DC2B69">
        <w:rPr>
          <w:rFonts w:ascii="Times New Roman" w:eastAsia="Times New Roman" w:hAnsi="Times New Roman" w:cs="Times New Roman"/>
          <w:color w:val="000000"/>
          <w:sz w:val="24"/>
          <w:szCs w:val="24"/>
        </w:rPr>
        <w:t xml:space="preserve"> in various countries as material for the renewal of Indonesian regulations.</w:t>
      </w:r>
      <w:r w:rsidR="00203CAF">
        <w:rPr>
          <w:rStyle w:val="FootnoteReference"/>
          <w:rFonts w:ascii="Times New Roman" w:eastAsia="Times New Roman" w:hAnsi="Times New Roman" w:cs="Times New Roman"/>
          <w:color w:val="000000"/>
          <w:sz w:val="24"/>
          <w:szCs w:val="24"/>
        </w:rPr>
        <w:footnoteReference w:id="8"/>
      </w:r>
      <w:r w:rsidR="00DC2B69">
        <w:rPr>
          <w:rFonts w:ascii="Times New Roman" w:eastAsia="Times New Roman" w:hAnsi="Times New Roman" w:cs="Times New Roman"/>
          <w:color w:val="000000"/>
          <w:sz w:val="24"/>
          <w:szCs w:val="24"/>
        </w:rPr>
        <w:t xml:space="preserve"> </w:t>
      </w:r>
      <w:r w:rsidRPr="00D91069">
        <w:rPr>
          <w:rFonts w:ascii="Times New Roman" w:eastAsia="Times New Roman" w:hAnsi="Times New Roman" w:cs="Times New Roman"/>
          <w:color w:val="000000"/>
          <w:sz w:val="24"/>
          <w:szCs w:val="24"/>
        </w:rPr>
        <w:t xml:space="preserve">Based on the foregoing discussion, this study aims to analyze the jurisdictional framework of Indonesian courts in handling the bankruptcy of foreign companies and to examine the mechanism for recognizing foreign bankruptcy judgments within the context of Indonesian </w:t>
      </w:r>
      <w:proofErr w:type="spellStart"/>
      <w:r w:rsidRPr="00D91069">
        <w:rPr>
          <w:rFonts w:ascii="Times New Roman" w:eastAsia="Times New Roman" w:hAnsi="Times New Roman" w:cs="Times New Roman"/>
          <w:color w:val="000000"/>
          <w:sz w:val="24"/>
          <w:szCs w:val="24"/>
        </w:rPr>
        <w:t>private</w:t>
      </w:r>
      <w:proofErr w:type="spellEnd"/>
      <w:r w:rsidRPr="00D91069">
        <w:rPr>
          <w:rFonts w:ascii="Times New Roman" w:eastAsia="Times New Roman" w:hAnsi="Times New Roman" w:cs="Times New Roman"/>
          <w:color w:val="000000"/>
          <w:sz w:val="24"/>
          <w:szCs w:val="24"/>
        </w:rPr>
        <w:t xml:space="preserve"> </w:t>
      </w:r>
      <w:proofErr w:type="spellStart"/>
      <w:r w:rsidRPr="00D91069">
        <w:rPr>
          <w:rFonts w:ascii="Times New Roman" w:eastAsia="Times New Roman" w:hAnsi="Times New Roman" w:cs="Times New Roman"/>
          <w:color w:val="000000"/>
          <w:sz w:val="24"/>
          <w:szCs w:val="24"/>
        </w:rPr>
        <w:t>international</w:t>
      </w:r>
      <w:proofErr w:type="spellEnd"/>
      <w:r w:rsidRPr="00D91069">
        <w:rPr>
          <w:rFonts w:ascii="Times New Roman" w:eastAsia="Times New Roman" w:hAnsi="Times New Roman" w:cs="Times New Roman"/>
          <w:color w:val="000000"/>
          <w:sz w:val="24"/>
          <w:szCs w:val="24"/>
        </w:rPr>
        <w:t xml:space="preserve"> </w:t>
      </w:r>
      <w:proofErr w:type="spellStart"/>
      <w:r w:rsidRPr="00D91069">
        <w:rPr>
          <w:rFonts w:ascii="Times New Roman" w:eastAsia="Times New Roman" w:hAnsi="Times New Roman" w:cs="Times New Roman"/>
          <w:color w:val="000000"/>
          <w:sz w:val="24"/>
          <w:szCs w:val="24"/>
        </w:rPr>
        <w:t>law</w:t>
      </w:r>
      <w:proofErr w:type="spellEnd"/>
      <w:r w:rsidRPr="00D91069">
        <w:rPr>
          <w:rFonts w:ascii="Times New Roman" w:eastAsia="Times New Roman" w:hAnsi="Times New Roman" w:cs="Times New Roman"/>
          <w:color w:val="000000"/>
          <w:sz w:val="24"/>
          <w:szCs w:val="24"/>
        </w:rPr>
        <w:t>.</w:t>
      </w:r>
    </w:p>
    <w:p w14:paraId="272895D3" w14:textId="77777777" w:rsidR="00C71A51" w:rsidRDefault="00C71A51" w:rsidP="00D9106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45839244" w14:textId="3A5BA3CE" w:rsidR="00DC2B69" w:rsidRDefault="002B6BCF" w:rsidP="00D91069">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B0793C">
        <w:rPr>
          <w:rFonts w:ascii="Times New Roman" w:eastAsia="Times New Roman" w:hAnsi="Times New Roman" w:cs="Times New Roman"/>
          <w:b/>
          <w:bCs/>
          <w:color w:val="000000"/>
          <w:sz w:val="24"/>
          <w:szCs w:val="24"/>
        </w:rPr>
        <w:t>RESEARCH METHODS</w:t>
      </w:r>
    </w:p>
    <w:p w14:paraId="2ED410F1" w14:textId="2228BC13" w:rsidR="00807E37" w:rsidRPr="00807E37" w:rsidRDefault="00807E37" w:rsidP="00807E37">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807E37">
        <w:rPr>
          <w:rFonts w:ascii="Times New Roman" w:eastAsia="Times New Roman" w:hAnsi="Times New Roman" w:cs="Times New Roman"/>
          <w:color w:val="000000"/>
          <w:sz w:val="24"/>
          <w:szCs w:val="24"/>
        </w:rPr>
        <w:t>This investigation adopts a normative juridical methodology, centering on codified legal provisions as the core subject of scrutiny. This approach is selected due to the doctrinal essence of the topic, specifically the formulation of jurisdictional authority and the procedures for acknowledging foreign bankruptcy rulings within Indonesia's established legal order. Primary legal sources comprise two fundamental statutes. Firstly, Law No. 37 of 2004 concerning Bankruptcy and Suspension of Debt Payment Obligations (KPKPU Law), which constitutes the principal normative foundation for evaluating Commercial Court jurisdiction and the criteria for bankruptcy declarations, encompassing matters with foreign involvement. Secondly, Law No. 24 of 2000 on International Agreements, pertinent to examining the integration of international law into Indonesia's juridical structure, especially concerning the prospective recognition of overseas bankruptcy decisions. These statutes undergo systematic review to ascertain their explicit treatment of transnational insolvency aspects.</w:t>
      </w:r>
    </w:p>
    <w:p w14:paraId="729CD9E4" w14:textId="0FC3E0D9" w:rsidR="00807E37" w:rsidRPr="00807E37" w:rsidRDefault="00807E37" w:rsidP="00807E37">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807E37">
        <w:rPr>
          <w:rFonts w:ascii="Times New Roman" w:eastAsia="Times New Roman" w:hAnsi="Times New Roman" w:cs="Times New Roman"/>
          <w:color w:val="000000"/>
          <w:sz w:val="24"/>
          <w:szCs w:val="24"/>
        </w:rPr>
        <w:t>Furthermore, the research incorporates secondary legal resources, such as academic journals addressing cross-border insolvency, private international law, and comparative bankruptcy regimes. These materials bolster the examination and situate the study amid prevailing scholarly dialogue. Legal sources are gathered via library-based inquiry, involving the identification, examination, and categorization of statutes, judicial rulings, and pertinent publications. The evaluation employs a prescriptive-analytical technique, which delineates prevailing norms while appraising their sufficiency for tackling modern global insolvency challenges and recommending requisite legislative adjustments.</w:t>
      </w:r>
    </w:p>
    <w:p w14:paraId="4A672BED" w14:textId="1974764B" w:rsidR="000342C3" w:rsidRPr="000342C3" w:rsidRDefault="002B6BCF" w:rsidP="00B0793C">
      <w:pPr>
        <w:numPr>
          <w:ilvl w:val="0"/>
          <w:numId w:val="2"/>
        </w:numPr>
        <w:pBdr>
          <w:top w:val="nil"/>
          <w:left w:val="nil"/>
          <w:bottom w:val="nil"/>
          <w:right w:val="nil"/>
          <w:between w:val="nil"/>
        </w:pBdr>
        <w:tabs>
          <w:tab w:val="left" w:pos="426"/>
        </w:tabs>
        <w:spacing w:after="0" w:line="36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RESULTS OF RESEARCH AND DISCUSSION</w:t>
      </w:r>
    </w:p>
    <w:p w14:paraId="63201A44" w14:textId="778DAE81" w:rsidR="000342C3" w:rsidRPr="000342C3" w:rsidRDefault="000342C3" w:rsidP="000342C3">
      <w:pPr>
        <w:numPr>
          <w:ilvl w:val="1"/>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sz w:val="24"/>
          <w:szCs w:val="24"/>
        </w:rPr>
      </w:pPr>
      <w:r w:rsidRPr="000342C3">
        <w:rPr>
          <w:rFonts w:ascii="Times New Roman" w:eastAsia="Times New Roman" w:hAnsi="Times New Roman" w:cs="Times New Roman"/>
          <w:b/>
          <w:bCs/>
          <w:color w:val="000000"/>
          <w:sz w:val="24"/>
          <w:szCs w:val="24"/>
        </w:rPr>
        <w:t>Construction of Indonesian Court Jurisdiction in Foreign Company Bankruptcy Cases</w:t>
      </w:r>
    </w:p>
    <w:p w14:paraId="619C8190" w14:textId="55226D55" w:rsidR="000342C3" w:rsidRPr="000342C3" w:rsidRDefault="00807E37" w:rsidP="00D9106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807E37">
        <w:rPr>
          <w:rFonts w:ascii="Times New Roman" w:eastAsia="Times New Roman" w:hAnsi="Times New Roman" w:cs="Times New Roman"/>
          <w:color w:val="000000"/>
          <w:sz w:val="24"/>
          <w:szCs w:val="24"/>
          <w:lang w:val="en-ID"/>
        </w:rPr>
        <w:t>The authority of the Commercial Court to address bankruptcy proceedings with foreign components rests on Article 2(1) read together with Article 3(4) of Law No. 37 of 2004 concerning Bankruptcy and Suspension of Debt Payment Obligations (KPKPU Law). Article 2(1) stipulates that a debtor possessing at least two creditors and unable to settle at least one matured obligation may be adjudged bankrupt. Article 3(4), in turn, broadens the court's reach by specifying that when a debtor lacks a domicile in Indonesia yet engages in business activities there, the appropriate Commercial Court is that encompassing the debtor's business location. This statutory structure forms the foundational legal ground enabling Indonesian Commercial Courts to entertain and resolve bankruptcy applications targeting foreign entities active within the country</w:t>
      </w:r>
      <w:r w:rsidR="000342C3" w:rsidRPr="000342C3">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9"/>
      </w:r>
    </w:p>
    <w:p w14:paraId="299A6B7A" w14:textId="413AF2BA" w:rsidR="00F252C1" w:rsidRDefault="00807E37" w:rsidP="00F252C1">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807E37">
        <w:rPr>
          <w:rFonts w:ascii="Times New Roman" w:eastAsia="Times New Roman" w:hAnsi="Times New Roman" w:cs="Times New Roman"/>
          <w:color w:val="000000"/>
          <w:sz w:val="24"/>
          <w:szCs w:val="24"/>
        </w:rPr>
        <w:t>From a pragmatic standpoint, jurisdictional scope can additionally expand via the doctrine of voluntary submission, whereby a foreign debtor expressly consents to the purview of an Indonesian court—such as via a forum selection provision in a commercial contract. This corresponds with insights from comparative analyses, which identify jurisdiction as the foremost challenge requiring resolution in transnational insolvency matters. Divergences across legal regimes frequently result in concurrent assertions of authority (overlapping jurisdictions), thereby obstructing the efficient execution of bankruptcy processes. Moreover, comparative examinations involving Indonesia, Malaysia, Singapore, and the Philippines demonstrate that the lack of a formalized mechanism for jurisdictional harmonization impedes curators' cross-border task fulfillment, consequently failing to safeguard creditors' interests to the fullest extent</w:t>
      </w:r>
      <w:r w:rsidR="000342C3" w:rsidRPr="000342C3">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10"/>
      </w:r>
    </w:p>
    <w:p w14:paraId="6E6E2D1C" w14:textId="5B087DC4" w:rsidR="00807E37" w:rsidRPr="00C71A51" w:rsidRDefault="00807E37" w:rsidP="00C71A51">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807E37">
        <w:rPr>
          <w:rFonts w:ascii="Times New Roman" w:eastAsia="Times New Roman" w:hAnsi="Times New Roman" w:cs="Times New Roman"/>
          <w:color w:val="000000"/>
          <w:sz w:val="24"/>
          <w:szCs w:val="24"/>
        </w:rPr>
        <w:t xml:space="preserve">A critical challenge emerges when a foreign debtor's assets span various jurisdictions beyond Indonesia alone. While Article 21 of the KPKPU Law declares that bankruptcy encompasses the entirety of the debtor's assets existing at the time of the pronouncement—including those obtained subsequently—this clause applies exclusively within territorial confines. Consequently, its reach is restricted to property situated in Indonesia. Indonesia's </w:t>
      </w:r>
      <w:r w:rsidRPr="00807E37">
        <w:rPr>
          <w:rFonts w:ascii="Times New Roman" w:eastAsia="Times New Roman" w:hAnsi="Times New Roman" w:cs="Times New Roman"/>
          <w:color w:val="000000"/>
          <w:sz w:val="24"/>
          <w:szCs w:val="24"/>
        </w:rPr>
        <w:lastRenderedPageBreak/>
        <w:t>commitment to territorialism hinders the curator's functions, notably in locating and liquidating overseas assets. Such constraints may ultimately prejudice creditors, particularly if local assets prove inadequate to fully discharge the debtor's liabilities. The ramifications of this stance are profound: creditors are confined to recoveries from Indonesian assets, whereas extraterritorial debtor property remains effectively inaccessible absent structured international collaboration</w:t>
      </w:r>
      <w:r w:rsidR="000342C3" w:rsidRPr="000342C3">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11"/>
      </w:r>
    </w:p>
    <w:p w14:paraId="07123FE7" w14:textId="2C739900" w:rsidR="000342C3" w:rsidRPr="000342C3" w:rsidRDefault="000342C3" w:rsidP="000342C3">
      <w:pPr>
        <w:numPr>
          <w:ilvl w:val="1"/>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sz w:val="24"/>
          <w:szCs w:val="24"/>
        </w:rPr>
      </w:pPr>
      <w:r w:rsidRPr="000342C3">
        <w:rPr>
          <w:rFonts w:ascii="Times New Roman" w:eastAsia="Times New Roman" w:hAnsi="Times New Roman" w:cs="Times New Roman"/>
          <w:b/>
          <w:bCs/>
          <w:color w:val="000000"/>
          <w:sz w:val="24"/>
          <w:szCs w:val="24"/>
        </w:rPr>
        <w:t>Mechanism for Recognition of Foreign Bankruptcy Judgments in the Indonesian Legal Framework</w:t>
      </w:r>
    </w:p>
    <w:p w14:paraId="622A46E7" w14:textId="3C7BF5EA" w:rsidR="000342C3" w:rsidRPr="00F252C1" w:rsidRDefault="00B312A9" w:rsidP="00F252C1">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B312A9">
        <w:rPr>
          <w:rFonts w:ascii="Times New Roman" w:eastAsia="Times New Roman" w:hAnsi="Times New Roman" w:cs="Times New Roman"/>
          <w:color w:val="000000"/>
          <w:sz w:val="24"/>
          <w:szCs w:val="24"/>
        </w:rPr>
        <w:t>A core dilemma in transnational insolvency concerns the potential for foreign bankruptcy rulings to gain recognition and enforceability in Indonesia. Within Indonesia's prevailing legal regime, the response is unequivocally affirmative in the negative. The KPKPU Law offers no provisions for acknowledging or executing overseas bankruptcy determinations. This stance finds corroboration in case law, exemplified by Decision No. 26/PARILIT/2010/PN.Niaga.JKT.PST, which holds that judgments from foreign tribunals function solely as robust evidential aids concerning obligations and inter-party legal ties, contingent upon satisfying the criteria for an authentic instrument. Nevertheless, Indonesian courts cannot grant direct recognition or enforcement to these judgments without the backing of a ratified international agreement or invocation of the reciprocity doctrine</w:t>
      </w:r>
      <w:r w:rsidR="00570C1D">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12"/>
      </w:r>
    </w:p>
    <w:p w14:paraId="5A9654C1" w14:textId="77777777" w:rsidR="00F252C1" w:rsidRDefault="00F252C1" w:rsidP="00F252C1">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F252C1">
        <w:rPr>
          <w:rFonts w:ascii="Times New Roman" w:eastAsia="Times New Roman" w:hAnsi="Times New Roman" w:cs="Times New Roman"/>
          <w:color w:val="000000"/>
          <w:sz w:val="24"/>
          <w:szCs w:val="24"/>
        </w:rPr>
        <w:t>The legal instrument linking national law with the international dimension in this context is Law No. 24 of 2000 on International Agreements. Article 4(1) provides that the Indonesian government may enter into international agreements based on principles of good faith and mutual benefit. Furthermore, Article 9(2) stipulates that such agreements must be ratified through legislation or presidential decrees, depending on their substance.</w:t>
      </w:r>
    </w:p>
    <w:p w14:paraId="092F16A0" w14:textId="50ED2F39" w:rsidR="00B312A9" w:rsidRPr="00B312A9" w:rsidRDefault="00B312A9" w:rsidP="00B312A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r w:rsidRPr="00B312A9">
        <w:rPr>
          <w:rFonts w:ascii="Times New Roman" w:eastAsia="Times New Roman" w:hAnsi="Times New Roman" w:cs="Times New Roman"/>
          <w:color w:val="000000"/>
          <w:sz w:val="24"/>
          <w:szCs w:val="24"/>
        </w:rPr>
        <w:t>Consequently, reciprocal acknowledgment of foreign bankruptcy rulings becomes feasible solely via ratification of pertinent global accords, including the UNCITRAL Model Law on Cross-Border Insolvency 1997, following the procedures delineated in domestic legislation. Yet, absent such ratification by Indonesia, a normative void persists regarding the recognition of extraterritorial bankruptcy decisions.</w:t>
      </w:r>
    </w:p>
    <w:p w14:paraId="4A1E16F3" w14:textId="4C8622AD" w:rsidR="00B0793C" w:rsidRPr="000342C3" w:rsidRDefault="00B312A9" w:rsidP="00B312A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B312A9">
        <w:rPr>
          <w:rFonts w:ascii="Times New Roman" w:eastAsia="Times New Roman" w:hAnsi="Times New Roman" w:cs="Times New Roman"/>
          <w:color w:val="000000"/>
          <w:sz w:val="24"/>
          <w:szCs w:val="24"/>
        </w:rPr>
        <w:t xml:space="preserve">This normative shortfall yields substantial operational repercussions. Curators designated in Indonesian bankruptcy processes hold no acknowledged authority abroad, impeding their </w:t>
      </w:r>
      <w:r w:rsidRPr="00B312A9">
        <w:rPr>
          <w:rFonts w:ascii="Times New Roman" w:eastAsia="Times New Roman" w:hAnsi="Times New Roman" w:cs="Times New Roman"/>
          <w:color w:val="000000"/>
          <w:sz w:val="24"/>
          <w:szCs w:val="24"/>
        </w:rPr>
        <w:lastRenderedPageBreak/>
        <w:t>ability to pursue and realize debtor assets overseas. The challenge intensifies due to the lack of institutionalized collaboration among insolvency practitioners internationally. Thus, Indonesia's bankruptcy apparatus proves inadequately prepared to navigate the mounting intricacies of global commerce. Contemporary analyses substantiate that the restricted executability of Indonesian bankruptcy rulings in transnational contexts stems chiefly from the dearth of a cohesive national framework for worldwide recognition. Accordingly, creditor safeguards in multi-jurisdictional dealings continue to face marked limitations</w:t>
      </w:r>
      <w:r w:rsidR="00F252C1" w:rsidRPr="00F252C1">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13"/>
      </w:r>
    </w:p>
    <w:p w14:paraId="730979CE" w14:textId="31B5DF0E" w:rsidR="000342C3" w:rsidRPr="000342C3" w:rsidRDefault="000342C3" w:rsidP="000342C3">
      <w:pPr>
        <w:numPr>
          <w:ilvl w:val="1"/>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lang w:val="en-ID"/>
        </w:rPr>
      </w:pPr>
      <w:r w:rsidRPr="000342C3">
        <w:rPr>
          <w:rFonts w:ascii="Times New Roman" w:eastAsia="Times New Roman" w:hAnsi="Times New Roman" w:cs="Times New Roman"/>
          <w:b/>
          <w:bCs/>
          <w:color w:val="000000"/>
          <w:sz w:val="24"/>
          <w:szCs w:val="24"/>
        </w:rPr>
        <w:t xml:space="preserve">The Urgency of Legal Reform and the Adoption </w:t>
      </w:r>
      <w:r w:rsidRPr="000342C3">
        <w:rPr>
          <w:rFonts w:ascii="Times New Roman" w:eastAsia="Times New Roman" w:hAnsi="Times New Roman" w:cs="Times New Roman"/>
          <w:b/>
          <w:bCs/>
          <w:i/>
          <w:iCs/>
          <w:color w:val="000000"/>
          <w:sz w:val="24"/>
          <w:szCs w:val="24"/>
        </w:rPr>
        <w:t xml:space="preserve"> of UNCITRAL Model Law</w:t>
      </w:r>
    </w:p>
    <w:p w14:paraId="6A73E814" w14:textId="68684C0C" w:rsidR="00F252C1" w:rsidRDefault="00B312A9" w:rsidP="00F252C1">
      <w:pPr>
        <w:spacing w:line="360" w:lineRule="auto"/>
        <w:ind w:firstLine="426"/>
        <w:jc w:val="both"/>
        <w:rPr>
          <w:rFonts w:ascii="Times New Roman" w:eastAsia="Times New Roman" w:hAnsi="Times New Roman" w:cs="Times New Roman"/>
          <w:color w:val="000000"/>
          <w:sz w:val="24"/>
          <w:szCs w:val="24"/>
        </w:rPr>
      </w:pPr>
      <w:r w:rsidRPr="00B312A9">
        <w:rPr>
          <w:rFonts w:ascii="Times New Roman" w:eastAsia="Times New Roman" w:hAnsi="Times New Roman" w:cs="Times New Roman"/>
          <w:color w:val="000000"/>
          <w:sz w:val="24"/>
          <w:szCs w:val="24"/>
        </w:rPr>
        <w:t>An analysis of Indonesia's established legal structure reveals that the territorialist paradigm, steadfastly embedded in the KPKPU Law, falls short of managing the intricacies of transnational insolvency amid the contemporary globalized marketplace. Numerous ASEAN nations, including Singapore, the Philippines, and Myanmar, have advanced their positions by integrating the UNCITRAL Model Law on Cross-Border Insolvency 1997 into their legislative systems. By comparison, Indonesia continues to depend on territorial principles, extending beyond cross-border insolvency to its overarching civil procedural regime.</w:t>
      </w:r>
      <w:r w:rsidR="00203CAF">
        <w:rPr>
          <w:rStyle w:val="FootnoteReference"/>
          <w:rFonts w:ascii="Times New Roman" w:eastAsia="Times New Roman" w:hAnsi="Times New Roman" w:cs="Times New Roman"/>
          <w:color w:val="000000"/>
          <w:sz w:val="24"/>
          <w:szCs w:val="24"/>
        </w:rPr>
        <w:footnoteReference w:id="14"/>
      </w:r>
      <w:r w:rsidR="000342C3" w:rsidRPr="000342C3">
        <w:rPr>
          <w:rFonts w:ascii="Times New Roman" w:eastAsia="Times New Roman" w:hAnsi="Times New Roman" w:cs="Times New Roman"/>
          <w:color w:val="000000"/>
          <w:sz w:val="24"/>
          <w:szCs w:val="24"/>
        </w:rPr>
        <w:t xml:space="preserve"> </w:t>
      </w:r>
      <w:r w:rsidRPr="00B312A9">
        <w:rPr>
          <w:rFonts w:ascii="Times New Roman" w:eastAsia="Times New Roman" w:hAnsi="Times New Roman" w:cs="Times New Roman"/>
          <w:color w:val="000000"/>
          <w:sz w:val="24"/>
          <w:szCs w:val="24"/>
        </w:rPr>
        <w:t>This regulatory lag risks placing Indonesia at a competitive disadvantage in attracting foreign investment. Multinational investors typically consider the availability of robust legal protections</w:t>
      </w:r>
      <w:r>
        <w:rPr>
          <w:rFonts w:ascii="Times New Roman" w:eastAsia="Times New Roman" w:hAnsi="Times New Roman" w:cs="Times New Roman"/>
          <w:color w:val="000000"/>
          <w:sz w:val="24"/>
          <w:szCs w:val="24"/>
        </w:rPr>
        <w:t xml:space="preserve"> </w:t>
      </w:r>
      <w:r w:rsidRPr="00B312A9">
        <w:rPr>
          <w:rFonts w:ascii="Times New Roman" w:eastAsia="Times New Roman" w:hAnsi="Times New Roman" w:cs="Times New Roman"/>
          <w:color w:val="000000"/>
          <w:sz w:val="24"/>
          <w:szCs w:val="24"/>
        </w:rPr>
        <w:t>particularly the certainty of cross-border insolvency resolution</w:t>
      </w:r>
      <w:r>
        <w:rPr>
          <w:rFonts w:ascii="Times New Roman" w:eastAsia="Times New Roman" w:hAnsi="Times New Roman" w:cs="Times New Roman"/>
          <w:color w:val="000000"/>
          <w:sz w:val="24"/>
          <w:szCs w:val="24"/>
        </w:rPr>
        <w:t xml:space="preserve"> </w:t>
      </w:r>
      <w:r w:rsidRPr="00B312A9">
        <w:rPr>
          <w:rFonts w:ascii="Times New Roman" w:eastAsia="Times New Roman" w:hAnsi="Times New Roman" w:cs="Times New Roman"/>
          <w:color w:val="000000"/>
          <w:sz w:val="24"/>
          <w:szCs w:val="24"/>
        </w:rPr>
        <w:t>as a key factor in their investment decisions</w:t>
      </w:r>
      <w:r w:rsidR="000342C3" w:rsidRPr="000342C3">
        <w:rPr>
          <w:rFonts w:ascii="Times New Roman" w:eastAsia="Times New Roman" w:hAnsi="Times New Roman" w:cs="Times New Roman"/>
          <w:color w:val="000000"/>
          <w:sz w:val="24"/>
          <w:szCs w:val="24"/>
        </w:rPr>
        <w:t>.</w:t>
      </w:r>
      <w:r w:rsidR="00203CAF">
        <w:rPr>
          <w:rStyle w:val="FootnoteReference"/>
          <w:rFonts w:ascii="Times New Roman" w:eastAsia="Times New Roman" w:hAnsi="Times New Roman" w:cs="Times New Roman"/>
          <w:color w:val="000000"/>
          <w:sz w:val="24"/>
          <w:szCs w:val="24"/>
        </w:rPr>
        <w:footnoteReference w:id="15"/>
      </w:r>
    </w:p>
    <w:p w14:paraId="0780199F" w14:textId="020E23DE" w:rsidR="00B312A9" w:rsidRDefault="00B312A9" w:rsidP="00F252C1">
      <w:pPr>
        <w:spacing w:line="360" w:lineRule="auto"/>
        <w:ind w:firstLine="426"/>
        <w:jc w:val="both"/>
        <w:rPr>
          <w:rFonts w:ascii="Times New Roman" w:eastAsia="Times New Roman" w:hAnsi="Times New Roman" w:cs="Times New Roman"/>
          <w:color w:val="000000"/>
          <w:sz w:val="24"/>
          <w:szCs w:val="24"/>
        </w:rPr>
      </w:pPr>
      <w:r w:rsidRPr="00B312A9">
        <w:rPr>
          <w:rFonts w:ascii="Times New Roman" w:eastAsia="Times New Roman" w:hAnsi="Times New Roman" w:cs="Times New Roman"/>
          <w:color w:val="000000"/>
          <w:sz w:val="24"/>
          <w:szCs w:val="24"/>
        </w:rPr>
        <w:t xml:space="preserve">The integration of the UNCITRAL Model Law on Cross-Border Insolvency 1997 stands as the foremost strategic and holistic remedy for rectifying current deficiencies. This model permits the acknowledgment of overseas insolvency actions, affords provisional safeguards to debtors, promotes synchronization of parallel proceedings spanning diverse jurisdictions, and bolsters the authority of foreign insolvency representatives in recovering debtor property. Nevertheless, Indonesia's implementation of this framework necessitates meticulous alignment across its juridical apparatus, encompassing the Civil Code, civil procedural statutes, private international law provisions, and the KPKPU Law, thereby forging a unified and cohesive </w:t>
      </w:r>
      <w:r w:rsidRPr="00B312A9">
        <w:rPr>
          <w:rFonts w:ascii="Times New Roman" w:eastAsia="Times New Roman" w:hAnsi="Times New Roman" w:cs="Times New Roman"/>
          <w:color w:val="000000"/>
          <w:sz w:val="24"/>
          <w:szCs w:val="24"/>
        </w:rPr>
        <w:lastRenderedPageBreak/>
        <w:t>bankruptcy regime. This transformation transcends theoretical discourse, emerging as an imperative priority that Indonesian legislators must address without delay to secure juridical predictability and enhance positioning within the international economic arena.</w:t>
      </w:r>
    </w:p>
    <w:p w14:paraId="147EE7F0" w14:textId="77777777" w:rsidR="00397B48" w:rsidRPr="00B312A9" w:rsidRDefault="00397B48" w:rsidP="00397B48">
      <w:pPr>
        <w:numPr>
          <w:ilvl w:val="1"/>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sz w:val="24"/>
          <w:szCs w:val="24"/>
          <w:lang w:val="en-ID"/>
        </w:rPr>
      </w:pPr>
      <w:r w:rsidRPr="00397B48">
        <w:rPr>
          <w:rFonts w:ascii="Times New Roman" w:eastAsia="Times New Roman" w:hAnsi="Times New Roman" w:cs="Times New Roman"/>
          <w:b/>
          <w:bCs/>
          <w:color w:val="000000"/>
          <w:sz w:val="24"/>
          <w:szCs w:val="24"/>
        </w:rPr>
        <w:t>Research Limitations</w:t>
      </w:r>
    </w:p>
    <w:p w14:paraId="564682FB" w14:textId="77777777" w:rsidR="00B312A9" w:rsidRDefault="00B312A9" w:rsidP="00B312A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B312A9">
        <w:rPr>
          <w:rFonts w:ascii="Times New Roman" w:eastAsia="Times New Roman" w:hAnsi="Times New Roman" w:cs="Times New Roman"/>
          <w:color w:val="000000"/>
          <w:sz w:val="24"/>
          <w:szCs w:val="24"/>
          <w:lang w:val="en-ID"/>
        </w:rPr>
        <w:t>This investigation presents certain constraints that warrant recognition for an accurate evaluation of its conclusions. Primarily, it depends exclusively on a normative juridical methodology grounded in document review, eschewing empirical evidence like detailed interviews with Commercial Court justices, curators, or insolvency experts engaged in transnational matters. The omission of on-the-ground data could diminish the thoroughness of insights into discrepancies between statutory rules and real-world adjudication. Additionally, the research omits a systematic review of conclusive and irrevocable Commercial Court rulings in cross-border insolvency disputes, thereby curtailing its capacity to delineate judicial rationales concerning jurisdictional authority and acknowledgment of foreign decisions.</w:t>
      </w:r>
    </w:p>
    <w:p w14:paraId="0BFE5782" w14:textId="6452C46D" w:rsidR="00B312A9" w:rsidRDefault="00B312A9" w:rsidP="00B312A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B312A9">
        <w:rPr>
          <w:rFonts w:ascii="Times New Roman" w:eastAsia="Times New Roman" w:hAnsi="Times New Roman" w:cs="Times New Roman"/>
          <w:color w:val="000000"/>
          <w:sz w:val="24"/>
          <w:szCs w:val="24"/>
          <w:lang w:val="en-ID"/>
        </w:rPr>
        <w:t>Secondly, the comparative evaluation is restricted to the UNCITRAL Model Law on Cross-Border Insolvency 1997 alongside broad approaches in select ASEAN states, lacking granular, case-oriented scrutiny of individual systems. This shortfall arises from limited availability of authentic legal documents in native tongues and the paucity of Indonesian scholarship delving deeply into cross-border insolvency. As such, the proposed solutions remain chiefly prescriptive and theoretical, necessitating subsequent empirical validation and expanded comparative inquiries moving forward.</w:t>
      </w:r>
    </w:p>
    <w:p w14:paraId="23FB2378" w14:textId="77777777" w:rsidR="00C71A51" w:rsidRPr="00B312A9" w:rsidRDefault="00C71A51" w:rsidP="00B312A9">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p>
    <w:p w14:paraId="3D301636" w14:textId="77777777" w:rsidR="0025087F" w:rsidRDefault="002B6BCF" w:rsidP="0025087F">
      <w:pPr>
        <w:numPr>
          <w:ilvl w:val="0"/>
          <w:numId w:val="2"/>
        </w:numPr>
        <w:pBdr>
          <w:top w:val="nil"/>
          <w:left w:val="nil"/>
          <w:bottom w:val="nil"/>
          <w:right w:val="nil"/>
          <w:between w:val="nil"/>
        </w:pBdr>
        <w:tabs>
          <w:tab w:val="left" w:pos="426"/>
        </w:tabs>
        <w:spacing w:after="0" w:line="36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CONCLUSION</w:t>
      </w:r>
    </w:p>
    <w:p w14:paraId="49734E20" w14:textId="2B4FC38F" w:rsidR="00B312A9" w:rsidRDefault="00B312A9" w:rsidP="0025087F">
      <w:pPr>
        <w:pBdr>
          <w:top w:val="nil"/>
          <w:left w:val="nil"/>
          <w:bottom w:val="nil"/>
          <w:right w:val="nil"/>
          <w:between w:val="nil"/>
        </w:pBdr>
        <w:spacing w:after="0" w:line="360" w:lineRule="auto"/>
        <w:ind w:firstLine="284"/>
        <w:jc w:val="both"/>
        <w:rPr>
          <w:rFonts w:ascii="Times New Roman" w:eastAsia="Times New Roman" w:hAnsi="Times New Roman" w:cs="Times New Roman"/>
          <w:b/>
          <w:bCs/>
          <w:color w:val="000000"/>
          <w:sz w:val="24"/>
          <w:szCs w:val="24"/>
        </w:rPr>
      </w:pPr>
      <w:r w:rsidRPr="00B312A9">
        <w:rPr>
          <w:rFonts w:ascii="Times New Roman" w:eastAsia="Times New Roman" w:hAnsi="Times New Roman" w:cs="Times New Roman"/>
          <w:color w:val="000000"/>
          <w:sz w:val="24"/>
          <w:szCs w:val="24"/>
        </w:rPr>
        <w:t>Drawing from this normative juridical examination, the authority of Indonesian Commercial Courts to adjudicate foreign company bankruptcies derives from Article 3(4) of the KPKPU Law, authorizing jurisdiction provided the overseas debtor maintains business operations on Indonesian soil. Nonetheless, Indonesia's extant legal order lacks provisions for endorsing foreign insolvency rulings, rendering them merely probative in nature and ineligible for direct execution without ratification of a pertinent treaty or application of reciprocity. This normative deficiency underscores the inadequacies of Indonesia's territory-bound bankruptcy system amid intensifying economic globalization, which calls for a more flexible and efficacious juridical structure to deliver equitable safeguards for stakeholders. Therefore, sweeping statutory overhaul emerges as an immediate imperative that admits no further delay.</w:t>
      </w:r>
    </w:p>
    <w:p w14:paraId="05678DEA" w14:textId="4B86BE99" w:rsidR="006D0F09" w:rsidRDefault="00E83F0C" w:rsidP="00B0793C">
      <w:pPr>
        <w:numPr>
          <w:ilvl w:val="0"/>
          <w:numId w:val="2"/>
        </w:numPr>
        <w:pBdr>
          <w:top w:val="nil"/>
          <w:left w:val="nil"/>
          <w:bottom w:val="nil"/>
          <w:right w:val="nil"/>
          <w:between w:val="nil"/>
        </w:pBdr>
        <w:tabs>
          <w:tab w:val="left" w:pos="426"/>
        </w:tabs>
        <w:spacing w:after="0" w:line="36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RECOMENDATION</w:t>
      </w:r>
    </w:p>
    <w:p w14:paraId="692AFB39" w14:textId="4AD36CEE" w:rsidR="0025087F" w:rsidRPr="0025087F" w:rsidRDefault="0025087F" w:rsidP="00C71A51">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25087F">
        <w:rPr>
          <w:rFonts w:ascii="Times New Roman" w:eastAsia="Times New Roman" w:hAnsi="Times New Roman" w:cs="Times New Roman"/>
          <w:color w:val="000000"/>
          <w:sz w:val="24"/>
          <w:szCs w:val="24"/>
          <w:lang w:val="en-ID"/>
        </w:rPr>
        <w:t>The Government of Indonesia and the House of Representatives should promptly undertake concrete reforms of Law No. 37 of 2004 by incorporating a comprehensive cross-border insolvency framework, including the adoption of the UNCITRAL Model Law on Cross-Border Insolvency 1997 through ratification procedures under Law No. 24 of 2000 on International Agreements. This reform must be accompanied by the harmonization of private international law and civil procedural law to ensure real legal certainty for both domestic and foreign creditors in bankruptcy practice.</w:t>
      </w:r>
    </w:p>
    <w:p w14:paraId="7A2FD661" w14:textId="30F4A501" w:rsidR="00F26319" w:rsidRPr="00F26319" w:rsidRDefault="0025087F" w:rsidP="0025087F">
      <w:p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lang w:val="en-ID"/>
        </w:rPr>
      </w:pPr>
      <w:r w:rsidRPr="0025087F">
        <w:rPr>
          <w:rFonts w:ascii="Times New Roman" w:eastAsia="Times New Roman" w:hAnsi="Times New Roman" w:cs="Times New Roman"/>
          <w:color w:val="000000"/>
          <w:sz w:val="24"/>
          <w:szCs w:val="24"/>
          <w:lang w:val="en-ID"/>
        </w:rPr>
        <w:t>Furthermore, Indonesia should establish bilateral and multilateral agreements with key trading partners to develop an effective mutual recognition mechanism. Strengthening the professional capacity of curators through international certification, as well as creating a specialized unit within the Commercial Court to handle cross-border insolvency cases, are also essential steps toward achieving an effective, fair, and globally responsive bankruptcy system.</w:t>
      </w:r>
    </w:p>
    <w:p w14:paraId="7D757ACD" w14:textId="77777777" w:rsidR="00C71A51" w:rsidRDefault="00C71A51" w:rsidP="00164E8B">
      <w:pPr>
        <w:spacing w:after="0" w:line="360" w:lineRule="auto"/>
        <w:jc w:val="center"/>
        <w:rPr>
          <w:rFonts w:ascii="Times New Roman" w:eastAsia="Times New Roman" w:hAnsi="Times New Roman" w:cs="Times New Roman"/>
          <w:b/>
          <w:bCs/>
        </w:rPr>
      </w:pPr>
    </w:p>
    <w:p w14:paraId="4E545F9A" w14:textId="4CD4094C" w:rsidR="00397B48" w:rsidRPr="00164E8B" w:rsidRDefault="002B6BCF" w:rsidP="00164E8B">
      <w:pPr>
        <w:spacing w:after="0" w:line="360" w:lineRule="auto"/>
        <w:jc w:val="center"/>
        <w:rPr>
          <w:rFonts w:ascii="Times New Roman" w:eastAsia="Times New Roman" w:hAnsi="Times New Roman" w:cs="Times New Roman"/>
          <w:b/>
          <w:bCs/>
        </w:rPr>
      </w:pPr>
      <w:r>
        <w:rPr>
          <w:rFonts w:ascii="Times New Roman" w:eastAsia="Times New Roman" w:hAnsi="Times New Roman" w:cs="Times New Roman"/>
          <w:b/>
          <w:bCs/>
        </w:rPr>
        <w:t>BIBLIOGRAPHY</w:t>
      </w:r>
    </w:p>
    <w:p w14:paraId="6D0F831C" w14:textId="2B482314" w:rsidR="006D0F09" w:rsidRPr="00CC4B52" w:rsidRDefault="00CC4B52" w:rsidP="00203CAF">
      <w:pPr>
        <w:widowControl w:val="0"/>
        <w:spacing w:after="0" w:line="360" w:lineRule="auto"/>
        <w:jc w:val="both"/>
        <w:rPr>
          <w:rFonts w:ascii="Times New Roman" w:eastAsia="Times New Roman" w:hAnsi="Times New Roman" w:cs="Times New Roman"/>
          <w:b/>
          <w:lang w:val="en-US"/>
        </w:rPr>
      </w:pPr>
      <w:r w:rsidRPr="00CC4B52">
        <w:rPr>
          <w:rFonts w:ascii="Times New Roman" w:eastAsia="Times New Roman" w:hAnsi="Times New Roman" w:cs="Times New Roman"/>
          <w:b/>
        </w:rPr>
        <w:t>Books :</w:t>
      </w:r>
    </w:p>
    <w:p w14:paraId="42E7D3B3" w14:textId="77777777"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Hartini, Rahayu. “Hukum Kepailitan Edisi Revisi Berdasarkan UU No 37 Tahun 2004 Tentang Kepailitan Dan Penundaan Kewajiban Pembayaran Utang.” </w:t>
      </w:r>
      <w:r w:rsidRPr="00203CAF">
        <w:rPr>
          <w:rFonts w:ascii="Times New Roman" w:hAnsi="Times New Roman" w:cs="Times New Roman"/>
          <w:i/>
          <w:iCs/>
          <w:noProof/>
          <w:szCs w:val="24"/>
        </w:rPr>
        <w:t>Malang: UPT Percetakan Uiversitas Muhammadiyah</w:t>
      </w:r>
      <w:r w:rsidRPr="00203CAF">
        <w:rPr>
          <w:rFonts w:ascii="Times New Roman" w:hAnsi="Times New Roman" w:cs="Times New Roman"/>
          <w:noProof/>
          <w:szCs w:val="24"/>
        </w:rPr>
        <w:t>, 2021.</w:t>
      </w:r>
    </w:p>
    <w:p w14:paraId="52B14C13" w14:textId="77777777"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Jono, S H. “Hukum Kepailitan.” In </w:t>
      </w:r>
      <w:r w:rsidRPr="00203CAF">
        <w:rPr>
          <w:rFonts w:ascii="Times New Roman" w:hAnsi="Times New Roman" w:cs="Times New Roman"/>
          <w:i/>
          <w:iCs/>
          <w:noProof/>
          <w:szCs w:val="24"/>
        </w:rPr>
        <w:t>Sinar Grafika</w:t>
      </w:r>
      <w:r w:rsidRPr="00203CAF">
        <w:rPr>
          <w:rFonts w:ascii="Times New Roman" w:hAnsi="Times New Roman" w:cs="Times New Roman"/>
          <w:noProof/>
          <w:szCs w:val="24"/>
        </w:rPr>
        <w:t>, 230. Sinar Grafika, 2025. https://books.google.co.id/books?id=MJmSEQAAQBAJ.</w:t>
      </w:r>
    </w:p>
    <w:p w14:paraId="76C04AC4" w14:textId="77777777"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Marzuki, Mahmud. “Penelitian Hukum: Edisi Revisi.” In </w:t>
      </w:r>
      <w:r w:rsidRPr="00203CAF">
        <w:rPr>
          <w:rFonts w:ascii="Times New Roman" w:hAnsi="Times New Roman" w:cs="Times New Roman"/>
          <w:i/>
          <w:iCs/>
          <w:noProof/>
          <w:szCs w:val="24"/>
        </w:rPr>
        <w:t>Prenada Media</w:t>
      </w:r>
      <w:r w:rsidRPr="00203CAF">
        <w:rPr>
          <w:rFonts w:ascii="Times New Roman" w:hAnsi="Times New Roman" w:cs="Times New Roman"/>
          <w:noProof/>
          <w:szCs w:val="24"/>
        </w:rPr>
        <w:t>, hal 270. Prenada Media, 2021. https://books.google.co.id/books?id=CKZADwAAQBAJ.</w:t>
      </w:r>
    </w:p>
    <w:p w14:paraId="4A01478D" w14:textId="77777777" w:rsidR="00164E8B"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Sjahdeini, Sutan Remy. “Hukum Kepailitan Memahami Undang-Undang No. 37 Tahun 2004 Tentang Kepailitan.” </w:t>
      </w:r>
      <w:r w:rsidRPr="00203CAF">
        <w:rPr>
          <w:rFonts w:ascii="Times New Roman" w:hAnsi="Times New Roman" w:cs="Times New Roman"/>
          <w:i/>
          <w:iCs/>
          <w:noProof/>
          <w:szCs w:val="24"/>
        </w:rPr>
        <w:t>Jakarta: Pustaka Utama Grafiti</w:t>
      </w:r>
      <w:r w:rsidRPr="00203CAF">
        <w:rPr>
          <w:rFonts w:ascii="Times New Roman" w:hAnsi="Times New Roman" w:cs="Times New Roman"/>
          <w:noProof/>
          <w:szCs w:val="24"/>
        </w:rPr>
        <w:t>, 2023.</w:t>
      </w:r>
    </w:p>
    <w:p w14:paraId="05437A70" w14:textId="3A05823D" w:rsidR="00164E8B"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rPr>
      </w:pPr>
      <w:r w:rsidRPr="00203CAF">
        <w:rPr>
          <w:rFonts w:ascii="Times New Roman" w:hAnsi="Times New Roman" w:cs="Times New Roman"/>
          <w:noProof/>
          <w:szCs w:val="24"/>
        </w:rPr>
        <w:t xml:space="preserve">Wessels, B, B A Markell, J J Kilborn, American College of Bankruptcy, and International Insolvency Institute. “International Cooperation in Bankruptcy and Insolvency Matters.” In </w:t>
      </w:r>
      <w:r w:rsidRPr="00203CAF">
        <w:rPr>
          <w:rFonts w:ascii="Times New Roman" w:hAnsi="Times New Roman" w:cs="Times New Roman"/>
          <w:i/>
          <w:iCs/>
          <w:noProof/>
          <w:szCs w:val="24"/>
        </w:rPr>
        <w:t>Oxford University Press</w:t>
      </w:r>
      <w:r w:rsidRPr="00203CAF">
        <w:rPr>
          <w:rFonts w:ascii="Times New Roman" w:hAnsi="Times New Roman" w:cs="Times New Roman"/>
          <w:noProof/>
          <w:szCs w:val="24"/>
        </w:rPr>
        <w:t xml:space="preserve">, 268. Oxford University Press, 2023. </w:t>
      </w:r>
      <w:hyperlink r:id="rId10" w:history="1">
        <w:r w:rsidRPr="004900CC">
          <w:rPr>
            <w:rStyle w:val="Hyperlink"/>
            <w:rFonts w:ascii="Times New Roman" w:hAnsi="Times New Roman" w:cs="Times New Roman"/>
            <w:noProof/>
            <w:szCs w:val="24"/>
          </w:rPr>
          <w:t>https://books.google.co.id/books?id=GtznCwAAQBAJ</w:t>
        </w:r>
      </w:hyperlink>
      <w:r w:rsidRPr="00203CAF">
        <w:rPr>
          <w:rFonts w:ascii="Times New Roman" w:hAnsi="Times New Roman" w:cs="Times New Roman"/>
          <w:noProof/>
          <w:szCs w:val="24"/>
        </w:rPr>
        <w:t>.</w:t>
      </w:r>
    </w:p>
    <w:p w14:paraId="1B19309B" w14:textId="77777777" w:rsidR="00164E8B" w:rsidRPr="00164E8B"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rPr>
      </w:pPr>
    </w:p>
    <w:p w14:paraId="6D2E0D49" w14:textId="27F71994" w:rsidR="00CC4B52" w:rsidRDefault="00CC4B52" w:rsidP="00203CAF">
      <w:pPr>
        <w:jc w:val="both"/>
        <w:rPr>
          <w:rFonts w:ascii="Times New Roman" w:eastAsia="Times New Roman" w:hAnsi="Times New Roman" w:cs="Times New Roman"/>
          <w:b/>
          <w:lang w:val="en-US"/>
        </w:rPr>
      </w:pPr>
      <w:r w:rsidRPr="00CC4B52">
        <w:rPr>
          <w:rFonts w:ascii="Times New Roman" w:eastAsia="Times New Roman" w:hAnsi="Times New Roman" w:cs="Times New Roman"/>
          <w:b/>
        </w:rPr>
        <w:t>Journal :</w:t>
      </w:r>
    </w:p>
    <w:p w14:paraId="01FF09CB" w14:textId="5F517430"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Andrian, and Gunardi Lie. “The Cross-Border Insolvency Provision as Ius Contituendum of Bankruptcy Act of Indonesia.” </w:t>
      </w:r>
      <w:r w:rsidRPr="00203CAF">
        <w:rPr>
          <w:rFonts w:ascii="Times New Roman" w:hAnsi="Times New Roman" w:cs="Times New Roman"/>
          <w:i/>
          <w:iCs/>
          <w:noProof/>
          <w:szCs w:val="24"/>
        </w:rPr>
        <w:t>Law Development Journal</w:t>
      </w:r>
      <w:r w:rsidRPr="00203CAF">
        <w:rPr>
          <w:rFonts w:ascii="Times New Roman" w:hAnsi="Times New Roman" w:cs="Times New Roman"/>
          <w:noProof/>
          <w:szCs w:val="24"/>
        </w:rPr>
        <w:t xml:space="preserve"> 6, no. 2 (2024)</w:t>
      </w:r>
      <w:r>
        <w:rPr>
          <w:rFonts w:ascii="Times New Roman" w:hAnsi="Times New Roman" w:cs="Times New Roman"/>
          <w:noProof/>
          <w:szCs w:val="24"/>
        </w:rPr>
        <w:t xml:space="preserve">. </w:t>
      </w:r>
      <w:r w:rsidRPr="00203CAF">
        <w:rPr>
          <w:rFonts w:ascii="Times New Roman" w:hAnsi="Times New Roman" w:cs="Times New Roman"/>
          <w:noProof/>
          <w:szCs w:val="24"/>
        </w:rPr>
        <w:t>https://doi.org/10.30659/ldj.6.2.180-199.</w:t>
      </w:r>
    </w:p>
    <w:p w14:paraId="30276473" w14:textId="705EFE8F"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Bauw, Elirica Aliyah Irwan, and Ema Nurkhaerani. “Keterbatasan Kekuatan Eksekutorial Putusan Pailit Indonesia Dalam Perkara Kepailitan Lintas Negara.” </w:t>
      </w:r>
      <w:r w:rsidRPr="00203CAF">
        <w:rPr>
          <w:rFonts w:ascii="Times New Roman" w:hAnsi="Times New Roman" w:cs="Times New Roman"/>
          <w:i/>
          <w:iCs/>
          <w:noProof/>
          <w:szCs w:val="24"/>
        </w:rPr>
        <w:t>Politik Dan Hukum Indonesia</w:t>
      </w:r>
      <w:r w:rsidRPr="00203CAF">
        <w:rPr>
          <w:rFonts w:ascii="Times New Roman" w:hAnsi="Times New Roman" w:cs="Times New Roman"/>
          <w:noProof/>
          <w:szCs w:val="24"/>
        </w:rPr>
        <w:t xml:space="preserve"> 2, no. 3 (2025)</w:t>
      </w:r>
      <w:r>
        <w:rPr>
          <w:rFonts w:ascii="Times New Roman" w:hAnsi="Times New Roman" w:cs="Times New Roman"/>
          <w:noProof/>
          <w:szCs w:val="24"/>
        </w:rPr>
        <w:t xml:space="preserve">. </w:t>
      </w:r>
      <w:r w:rsidRPr="00203CAF">
        <w:rPr>
          <w:rFonts w:ascii="Times New Roman" w:hAnsi="Times New Roman" w:cs="Times New Roman"/>
          <w:noProof/>
          <w:szCs w:val="24"/>
        </w:rPr>
        <w:t>https://doi.org/10.62383/amandemen.v2i3.966.</w:t>
      </w:r>
    </w:p>
    <w:p w14:paraId="72454FFE" w14:textId="0C21907F"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Dewi, Putu Eka Trisna. “The Cross-Border Insolvency in the Execution of Bankrupt Assets Outside Indonesian Jurisdiction: A Comparative Study with Malaysia, Singapore, and the Philippines.” </w:t>
      </w:r>
      <w:r w:rsidRPr="00203CAF">
        <w:rPr>
          <w:rFonts w:ascii="Times New Roman" w:hAnsi="Times New Roman" w:cs="Times New Roman"/>
          <w:i/>
          <w:iCs/>
          <w:noProof/>
          <w:szCs w:val="24"/>
        </w:rPr>
        <w:t>IKAT: The Indonesian Journal of Southeast Asian Studies</w:t>
      </w:r>
      <w:r w:rsidRPr="00203CAF">
        <w:rPr>
          <w:rFonts w:ascii="Times New Roman" w:hAnsi="Times New Roman" w:cs="Times New Roman"/>
          <w:noProof/>
          <w:szCs w:val="24"/>
        </w:rPr>
        <w:t xml:space="preserve"> 5, no. 1 (2021</w:t>
      </w:r>
      <w:r>
        <w:rPr>
          <w:rFonts w:ascii="Times New Roman" w:hAnsi="Times New Roman" w:cs="Times New Roman"/>
          <w:noProof/>
          <w:szCs w:val="24"/>
        </w:rPr>
        <w:t xml:space="preserve">). </w:t>
      </w:r>
      <w:r w:rsidRPr="00203CAF">
        <w:rPr>
          <w:rFonts w:ascii="Times New Roman" w:hAnsi="Times New Roman" w:cs="Times New Roman"/>
          <w:noProof/>
          <w:szCs w:val="24"/>
        </w:rPr>
        <w:t>https://doi.org/10.22146/ikat.v5i1.64157.</w:t>
      </w:r>
    </w:p>
    <w:p w14:paraId="681AA74D" w14:textId="32539569"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Dzaky, Muhammad, Budi Santoso, and Hanif Nur Widhiyanti. “Analysis Of Cross-Border Insolvency Dispute Resolution In Insolvency Practice In Indonesia.” </w:t>
      </w:r>
      <w:r w:rsidRPr="00203CAF">
        <w:rPr>
          <w:rFonts w:ascii="Times New Roman" w:hAnsi="Times New Roman" w:cs="Times New Roman"/>
          <w:i/>
          <w:iCs/>
          <w:noProof/>
          <w:szCs w:val="24"/>
        </w:rPr>
        <w:t xml:space="preserve">International Journal of Islamic </w:t>
      </w:r>
      <w:r w:rsidRPr="00203CAF">
        <w:rPr>
          <w:rFonts w:ascii="Times New Roman" w:hAnsi="Times New Roman" w:cs="Times New Roman"/>
          <w:i/>
          <w:iCs/>
          <w:noProof/>
          <w:szCs w:val="24"/>
        </w:rPr>
        <w:lastRenderedPageBreak/>
        <w:t>Education, Research and Multiculturalism (IJIERM)</w:t>
      </w:r>
      <w:r w:rsidRPr="00203CAF">
        <w:rPr>
          <w:rFonts w:ascii="Times New Roman" w:hAnsi="Times New Roman" w:cs="Times New Roman"/>
          <w:noProof/>
          <w:szCs w:val="24"/>
        </w:rPr>
        <w:t xml:space="preserve"> 5, no. 3 (2023)</w:t>
      </w:r>
      <w:r>
        <w:rPr>
          <w:rFonts w:ascii="Times New Roman" w:hAnsi="Times New Roman" w:cs="Times New Roman"/>
          <w:noProof/>
          <w:szCs w:val="24"/>
        </w:rPr>
        <w:t xml:space="preserve">. </w:t>
      </w:r>
      <w:r w:rsidRPr="00203CAF">
        <w:rPr>
          <w:rFonts w:ascii="Times New Roman" w:hAnsi="Times New Roman" w:cs="Times New Roman"/>
          <w:noProof/>
          <w:szCs w:val="24"/>
        </w:rPr>
        <w:t>https://doi.org/10.47006/ijierm.v5i3.275.</w:t>
      </w:r>
    </w:p>
    <w:p w14:paraId="619121B1" w14:textId="1ECB31F9"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Firdaus, Muhammad Ihsan. “Metode Omnibus Law Dalam Pembaharuan Hukum Pembentukan Peraturan Perundang-Undangan Di Indonesia (Studi Perbandingan Negara Kanada, Amerika Serikat, Filipina Dan Vietnam).” </w:t>
      </w:r>
      <w:r w:rsidRPr="00203CAF">
        <w:rPr>
          <w:rFonts w:ascii="Times New Roman" w:hAnsi="Times New Roman" w:cs="Times New Roman"/>
          <w:i/>
          <w:iCs/>
          <w:noProof/>
          <w:szCs w:val="24"/>
        </w:rPr>
        <w:t>Jurnal Hukum Ius Quia Iustum</w:t>
      </w:r>
      <w:r w:rsidRPr="00203CAF">
        <w:rPr>
          <w:rFonts w:ascii="Times New Roman" w:hAnsi="Times New Roman" w:cs="Times New Roman"/>
          <w:noProof/>
          <w:szCs w:val="24"/>
        </w:rPr>
        <w:t xml:space="preserve"> 30, no. 2 (2023)</w:t>
      </w:r>
      <w:r>
        <w:rPr>
          <w:rFonts w:ascii="Times New Roman" w:hAnsi="Times New Roman" w:cs="Times New Roman"/>
          <w:noProof/>
          <w:szCs w:val="24"/>
        </w:rPr>
        <w:t xml:space="preserve">. </w:t>
      </w:r>
      <w:r w:rsidRPr="00203CAF">
        <w:rPr>
          <w:rFonts w:ascii="Times New Roman" w:hAnsi="Times New Roman" w:cs="Times New Roman"/>
          <w:noProof/>
          <w:szCs w:val="24"/>
        </w:rPr>
        <w:t>https://doi.org/10.20885/iustum.vol30.iss2.art1.</w:t>
      </w:r>
    </w:p>
    <w:p w14:paraId="17C672A6" w14:textId="1B2730FB"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Hikmah, Nurul. “Legal Implications of the Territorial Principle on Cross-Border Insolvency in Indonesian Bankruptcy Law.” </w:t>
      </w:r>
      <w:r w:rsidRPr="00203CAF">
        <w:rPr>
          <w:rFonts w:ascii="Times New Roman" w:hAnsi="Times New Roman" w:cs="Times New Roman"/>
          <w:i/>
          <w:iCs/>
          <w:noProof/>
          <w:szCs w:val="24"/>
        </w:rPr>
        <w:t>Justice Voice</w:t>
      </w:r>
      <w:r w:rsidRPr="00203CAF">
        <w:rPr>
          <w:rFonts w:ascii="Times New Roman" w:hAnsi="Times New Roman" w:cs="Times New Roman"/>
          <w:noProof/>
          <w:szCs w:val="24"/>
        </w:rPr>
        <w:t xml:space="preserve"> 3, no. 2 (2024)</w:t>
      </w:r>
      <w:r>
        <w:rPr>
          <w:rFonts w:ascii="Times New Roman" w:hAnsi="Times New Roman" w:cs="Times New Roman"/>
          <w:noProof/>
          <w:szCs w:val="24"/>
        </w:rPr>
        <w:t xml:space="preserve">. </w:t>
      </w:r>
      <w:r w:rsidRPr="00203CAF">
        <w:rPr>
          <w:rFonts w:ascii="Times New Roman" w:hAnsi="Times New Roman" w:cs="Times New Roman"/>
          <w:noProof/>
          <w:szCs w:val="24"/>
        </w:rPr>
        <w:t>https://doi.org/10.37893/jv.v3i2.1136.</w:t>
      </w:r>
    </w:p>
    <w:p w14:paraId="3328FAA2" w14:textId="15A56798"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Indrawan, Riesky, Risma Situmorang, and Tubagus Achmad Darodjat. “Regaining Cross-Border Authority: The Role of Law and Institutional Challenges for Curators in Cross-Border Insolvency.” </w:t>
      </w:r>
      <w:r w:rsidRPr="00203CAF">
        <w:rPr>
          <w:rFonts w:ascii="Times New Roman" w:hAnsi="Times New Roman" w:cs="Times New Roman"/>
          <w:i/>
          <w:iCs/>
          <w:noProof/>
          <w:szCs w:val="24"/>
        </w:rPr>
        <w:t>Journal Evidence Of Law</w:t>
      </w:r>
      <w:r w:rsidRPr="00203CAF">
        <w:rPr>
          <w:rFonts w:ascii="Times New Roman" w:hAnsi="Times New Roman" w:cs="Times New Roman"/>
          <w:noProof/>
          <w:szCs w:val="24"/>
        </w:rPr>
        <w:t xml:space="preserve"> 4, no. 2 (2025). https://doi.org/10.59066/jel.v4i2.1598.</w:t>
      </w:r>
    </w:p>
    <w:p w14:paraId="4623F8C2" w14:textId="5A173A05"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Puspitasari, Lia Nopiharni, Dian Septiandani, Diah Sulistyani Ratna Sediati, and Kadi Sukarna. “Problematika Eksekusi Harta Pailit Dalam Cross Border Insolvency.” </w:t>
      </w:r>
      <w:r w:rsidRPr="00203CAF">
        <w:rPr>
          <w:rFonts w:ascii="Times New Roman" w:hAnsi="Times New Roman" w:cs="Times New Roman"/>
          <w:i/>
          <w:iCs/>
          <w:noProof/>
          <w:szCs w:val="24"/>
        </w:rPr>
        <w:t>Jurnal Usm Law Review</w:t>
      </w:r>
      <w:r w:rsidRPr="00203CAF">
        <w:rPr>
          <w:rFonts w:ascii="Times New Roman" w:hAnsi="Times New Roman" w:cs="Times New Roman"/>
          <w:noProof/>
          <w:szCs w:val="24"/>
        </w:rPr>
        <w:t xml:space="preserve"> 4, no. 2 (2021). https://doi.org/10.26623/julr.v4i2.4238.</w:t>
      </w:r>
    </w:p>
    <w:p w14:paraId="6D0B177F" w14:textId="77777777" w:rsidR="00164E8B" w:rsidRPr="00203CAF"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Putra, M. Rendy Rifki. “Eksekusi Putusan Pailit Atas Perusahaan Modal Asing Di Indonesia.” </w:t>
      </w:r>
      <w:r w:rsidRPr="00203CAF">
        <w:rPr>
          <w:rFonts w:ascii="Times New Roman" w:hAnsi="Times New Roman" w:cs="Times New Roman"/>
          <w:i/>
          <w:iCs/>
          <w:noProof/>
          <w:szCs w:val="24"/>
        </w:rPr>
        <w:t>Istinbath: Jurnal Hukum</w:t>
      </w:r>
      <w:r w:rsidRPr="00203CAF">
        <w:rPr>
          <w:rFonts w:ascii="Times New Roman" w:hAnsi="Times New Roman" w:cs="Times New Roman"/>
          <w:noProof/>
          <w:szCs w:val="24"/>
        </w:rPr>
        <w:t xml:space="preserve"> 18, no. 2 (2021). https://doi.org/10.32332/istinbath.v18i2.3663.</w:t>
      </w:r>
    </w:p>
    <w:p w14:paraId="57AAF540" w14:textId="1E7179AB" w:rsidR="00CC4B52" w:rsidRDefault="00164E8B" w:rsidP="00164E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03CAF">
        <w:rPr>
          <w:rFonts w:ascii="Times New Roman" w:hAnsi="Times New Roman" w:cs="Times New Roman"/>
          <w:noProof/>
          <w:szCs w:val="24"/>
        </w:rPr>
        <w:t xml:space="preserve">Saputri, Theodora Pritadianing. “Indonesia’s Bankruptcy Law Reform for Stronger Cross Border Creditors’ Protection.” </w:t>
      </w:r>
      <w:r w:rsidRPr="00203CAF">
        <w:rPr>
          <w:rFonts w:ascii="Times New Roman" w:hAnsi="Times New Roman" w:cs="Times New Roman"/>
          <w:i/>
          <w:iCs/>
          <w:noProof/>
          <w:szCs w:val="24"/>
        </w:rPr>
        <w:t>Lex Lectio : Jurnal Kajian Hukum</w:t>
      </w:r>
      <w:r w:rsidRPr="00203CAF">
        <w:rPr>
          <w:rFonts w:ascii="Times New Roman" w:hAnsi="Times New Roman" w:cs="Times New Roman"/>
          <w:noProof/>
          <w:szCs w:val="24"/>
        </w:rPr>
        <w:t xml:space="preserve"> 2, no. 2 (2023)</w:t>
      </w:r>
      <w:r>
        <w:rPr>
          <w:rFonts w:ascii="Times New Roman" w:hAnsi="Times New Roman" w:cs="Times New Roman"/>
          <w:noProof/>
          <w:szCs w:val="24"/>
        </w:rPr>
        <w:t>.</w:t>
      </w:r>
    </w:p>
    <w:p w14:paraId="3E4D5F0B" w14:textId="77777777" w:rsidR="00164E8B" w:rsidRPr="00164E8B" w:rsidRDefault="00164E8B" w:rsidP="00A00788">
      <w:pPr>
        <w:widowControl w:val="0"/>
        <w:autoSpaceDE w:val="0"/>
        <w:autoSpaceDN w:val="0"/>
        <w:adjustRightInd w:val="0"/>
        <w:spacing w:after="0" w:line="240" w:lineRule="auto"/>
        <w:jc w:val="both"/>
        <w:rPr>
          <w:rFonts w:ascii="Times New Roman" w:hAnsi="Times New Roman" w:cs="Times New Roman"/>
          <w:noProof/>
          <w:szCs w:val="24"/>
        </w:rPr>
      </w:pPr>
    </w:p>
    <w:p w14:paraId="481830F6" w14:textId="182F6C73" w:rsidR="00164E8B" w:rsidRPr="00164E8B" w:rsidRDefault="00CC4B52" w:rsidP="00164E8B">
      <w:pPr>
        <w:ind w:left="426" w:hanging="426"/>
        <w:jc w:val="both"/>
        <w:rPr>
          <w:rFonts w:ascii="Times New Roman" w:eastAsia="Times New Roman" w:hAnsi="Times New Roman" w:cs="Times New Roman"/>
        </w:rPr>
      </w:pPr>
      <w:r>
        <w:rPr>
          <w:rFonts w:ascii="Times New Roman" w:eastAsia="Times New Roman" w:hAnsi="Times New Roman" w:cs="Times New Roman"/>
          <w:b/>
        </w:rPr>
        <w:t>Regulation</w:t>
      </w:r>
      <w:r w:rsidR="00164E8B">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164E8B" w:rsidRPr="00164E8B">
        <w:rPr>
          <w:rFonts w:ascii="Times New Roman" w:eastAsia="Times New Roman" w:hAnsi="Times New Roman" w:cs="Times New Roman"/>
        </w:rPr>
        <w:t xml:space="preserve"> </w:t>
      </w:r>
      <w:r w:rsidR="00164E8B" w:rsidRPr="00164E8B">
        <w:rPr>
          <w:rFonts w:ascii="Times New Roman" w:eastAsia="Times New Roman" w:hAnsi="Times New Roman" w:cs="Times New Roman"/>
        </w:rPr>
        <w:fldChar w:fldCharType="begin" w:fldLock="1"/>
      </w:r>
      <w:r w:rsidR="00164E8B" w:rsidRPr="00164E8B">
        <w:rPr>
          <w:rFonts w:ascii="Times New Roman" w:eastAsia="Times New Roman" w:hAnsi="Times New Roman" w:cs="Times New Roman"/>
        </w:rPr>
        <w:instrText xml:space="preserve">ADDIN Mendeley Bibliography CSL_BIBLIOGRAPHY </w:instrText>
      </w:r>
      <w:r w:rsidR="00164E8B" w:rsidRPr="00164E8B">
        <w:rPr>
          <w:rFonts w:ascii="Times New Roman" w:eastAsia="Times New Roman" w:hAnsi="Times New Roman" w:cs="Times New Roman"/>
        </w:rPr>
        <w:fldChar w:fldCharType="separate"/>
      </w:r>
    </w:p>
    <w:p w14:paraId="631B2DCC" w14:textId="77777777" w:rsidR="00164E8B" w:rsidRPr="00164E8B" w:rsidRDefault="00164E8B" w:rsidP="00164E8B">
      <w:pPr>
        <w:ind w:left="426" w:hanging="426"/>
        <w:jc w:val="both"/>
        <w:rPr>
          <w:rFonts w:ascii="Times New Roman" w:eastAsia="Times New Roman" w:hAnsi="Times New Roman" w:cs="Times New Roman"/>
        </w:rPr>
      </w:pPr>
      <w:r w:rsidRPr="00164E8B">
        <w:rPr>
          <w:rFonts w:ascii="Times New Roman" w:eastAsia="Times New Roman" w:hAnsi="Times New Roman" w:cs="Times New Roman"/>
        </w:rPr>
        <w:t xml:space="preserve">UNCITRAL. “UNCITRAL Model Law on Cross-Border Insolvency with Guide to Enactment and Interpretation.” </w:t>
      </w:r>
      <w:r w:rsidRPr="00164E8B">
        <w:rPr>
          <w:rFonts w:ascii="Times New Roman" w:eastAsia="Times New Roman" w:hAnsi="Times New Roman" w:cs="Times New Roman"/>
          <w:i/>
          <w:iCs/>
        </w:rPr>
        <w:t>United Nations</w:t>
      </w:r>
      <w:r w:rsidRPr="00164E8B">
        <w:rPr>
          <w:rFonts w:ascii="Times New Roman" w:eastAsia="Times New Roman" w:hAnsi="Times New Roman" w:cs="Times New Roman"/>
        </w:rPr>
        <w:t>, 2022. https://uncitral.un.org/en/texts/insolvency/modellaw/cross-border_insolvency.</w:t>
      </w:r>
    </w:p>
    <w:p w14:paraId="24B8E28C" w14:textId="77777777" w:rsidR="00164E8B" w:rsidRPr="00164E8B" w:rsidRDefault="00164E8B" w:rsidP="00164E8B">
      <w:pPr>
        <w:ind w:left="426" w:hanging="426"/>
        <w:jc w:val="both"/>
        <w:rPr>
          <w:rFonts w:ascii="Times New Roman" w:eastAsia="Times New Roman" w:hAnsi="Times New Roman" w:cs="Times New Roman"/>
        </w:rPr>
      </w:pPr>
      <w:r w:rsidRPr="00164E8B">
        <w:rPr>
          <w:rFonts w:ascii="Times New Roman" w:eastAsia="Times New Roman" w:hAnsi="Times New Roman" w:cs="Times New Roman"/>
        </w:rPr>
        <w:t>Undang-Undang Republik Indonesia. “Nomor 24 Tahun 2000 Tentang Perjanjian Internasional,” 2000.</w:t>
      </w:r>
    </w:p>
    <w:p w14:paraId="63D7DCDD" w14:textId="77777777" w:rsidR="00164E8B" w:rsidRPr="00164E8B" w:rsidRDefault="00164E8B" w:rsidP="00164E8B">
      <w:pPr>
        <w:ind w:left="426" w:hanging="426"/>
        <w:jc w:val="both"/>
        <w:rPr>
          <w:rFonts w:ascii="Times New Roman" w:eastAsia="Times New Roman" w:hAnsi="Times New Roman" w:cs="Times New Roman"/>
        </w:rPr>
      </w:pPr>
      <w:r w:rsidRPr="00164E8B">
        <w:rPr>
          <w:rFonts w:ascii="Times New Roman" w:eastAsia="Times New Roman" w:hAnsi="Times New Roman" w:cs="Times New Roman"/>
        </w:rPr>
        <w:t xml:space="preserve">Undang-Undang Republik Indonesia. “Undang-Undang Republik Indonesia Nomor 37 Tahun 2004 Tentang Kepailitan Dan Penundaan Kewajiban Pembayaran Utang.” </w:t>
      </w:r>
      <w:r w:rsidRPr="00164E8B">
        <w:rPr>
          <w:rFonts w:ascii="Times New Roman" w:eastAsia="Times New Roman" w:hAnsi="Times New Roman" w:cs="Times New Roman"/>
          <w:i/>
          <w:iCs/>
        </w:rPr>
        <w:t>Database Peraturan Bpk Ri</w:t>
      </w:r>
      <w:r w:rsidRPr="00164E8B">
        <w:rPr>
          <w:rFonts w:ascii="Times New Roman" w:eastAsia="Times New Roman" w:hAnsi="Times New Roman" w:cs="Times New Roman"/>
        </w:rPr>
        <w:t>, 2004, 55.</w:t>
      </w:r>
    </w:p>
    <w:p w14:paraId="615B1C0D" w14:textId="2F1A4B53" w:rsidR="00CC4B52" w:rsidRDefault="00164E8B" w:rsidP="00CC4B52">
      <w:pPr>
        <w:jc w:val="both"/>
        <w:rPr>
          <w:rFonts w:ascii="Times New Roman" w:eastAsia="Times New Roman" w:hAnsi="Times New Roman" w:cs="Times New Roman"/>
        </w:rPr>
      </w:pPr>
      <w:r w:rsidRPr="00164E8B">
        <w:rPr>
          <w:rFonts w:ascii="Times New Roman" w:eastAsia="Times New Roman" w:hAnsi="Times New Roman" w:cs="Times New Roman"/>
        </w:rPr>
        <w:fldChar w:fldCharType="end"/>
      </w:r>
    </w:p>
    <w:p w14:paraId="7F4FF93C" w14:textId="30417A48" w:rsidR="00CC4B52" w:rsidRPr="0070240C" w:rsidRDefault="00CC4B52" w:rsidP="00CC4B52"/>
    <w:sectPr w:rsidR="00CC4B52" w:rsidRPr="0070240C" w:rsidSect="00C71A51">
      <w:headerReference w:type="default" r:id="rId11"/>
      <w:footerReference w:type="even" r:id="rId12"/>
      <w:footerReference w:type="default" r:id="rId13"/>
      <w:pgSz w:w="11906" w:h="16838"/>
      <w:pgMar w:top="1440" w:right="1440" w:bottom="1440" w:left="1440" w:header="709" w:footer="709" w:gutter="0"/>
      <w:pgNumType w:start="1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05A6C" w14:textId="77777777" w:rsidR="00CB3689" w:rsidRDefault="00CB3689">
      <w:pPr>
        <w:spacing w:after="0" w:line="240" w:lineRule="auto"/>
      </w:pPr>
      <w:r>
        <w:separator/>
      </w:r>
    </w:p>
  </w:endnote>
  <w:endnote w:type="continuationSeparator" w:id="0">
    <w:p w14:paraId="168E2BBD" w14:textId="77777777" w:rsidR="00CB3689" w:rsidRDefault="00CB3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B2A958C7-41FC-0743-A4A1-B2BAC9B1D98D}"/>
    <w:embedBold r:id="rId2" w:fontKey="{CD10463D-F957-1144-B14D-077550DF8B8F}"/>
    <w:embedItalic r:id="rId3" w:fontKey="{47442D00-C76D-3A4B-9F7D-C8463431E4CF}"/>
    <w:embedBoldItalic r:id="rId4" w:fontKey="{AAE8A9B7-2383-F546-AA96-7EF082C5D22E}"/>
  </w:font>
  <w:font w:name="Calibri">
    <w:panose1 w:val="020F0502020204030204"/>
    <w:charset w:val="00"/>
    <w:family w:val="swiss"/>
    <w:pitch w:val="variable"/>
    <w:sig w:usb0="E4002EFF" w:usb1="C200247B" w:usb2="00000009" w:usb3="00000000" w:csb0="000001FF" w:csb1="00000000"/>
    <w:embedRegular r:id="rId5" w:fontKey="{C2734517-1DB2-9B4A-ACAA-8AD9D3EF2EFD}"/>
    <w:embedBold r:id="rId6" w:fontKey="{27C7373B-28E4-164A-A2FC-7FBE4B5DA69C}"/>
    <w:embedItalic r:id="rId7" w:fontKey="{66993D5E-E4B6-1141-A0A4-613B54BB723B}"/>
  </w:font>
  <w:font w:name="Georgia">
    <w:panose1 w:val="02040502050405020303"/>
    <w:charset w:val="00"/>
    <w:family w:val="roman"/>
    <w:pitch w:val="variable"/>
    <w:sig w:usb0="00000287" w:usb1="00000000" w:usb2="00000000" w:usb3="00000000" w:csb0="0000009F" w:csb1="00000000"/>
    <w:embedItalic r:id="rId8" w:fontKey="{23BFC871-E9AD-1F47-BCD1-13C8EBCB0503}"/>
  </w:font>
  <w:font w:name="Cambria">
    <w:panose1 w:val="02040503050406030204"/>
    <w:charset w:val="00"/>
    <w:family w:val="roman"/>
    <w:pitch w:val="variable"/>
    <w:sig w:usb0="E00006FF" w:usb1="420024FF" w:usb2="02000000" w:usb3="00000000" w:csb0="0000019F" w:csb1="00000000"/>
    <w:embedRegular r:id="rId9" w:fontKey="{F199771A-DD26-8149-943A-58C12744F4F9}"/>
    <w:embedItalic r:id="rId10" w:fontKey="{19458EF1-082A-F74C-9A5F-CBEC18871C0A}"/>
  </w:font>
  <w:font w:name="Palatino Linotype">
    <w:panose1 w:val="02040502050505030304"/>
    <w:charset w:val="00"/>
    <w:family w:val="roman"/>
    <w:pitch w:val="variable"/>
    <w:sig w:usb0="E0000287" w:usb1="40000013" w:usb2="00000000" w:usb3="00000000" w:csb0="0000019F" w:csb1="00000000"/>
    <w:embedRegular r:id="rId11" w:fontKey="{471A5944-3E9E-824F-948E-2DA7F279CEA0}"/>
    <w:embedBold r:id="rId12" w:fontKey="{EAEC8D5A-4480-884A-8AF2-4AA565D333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17758853"/>
      <w:docPartObj>
        <w:docPartGallery w:val="Page Numbers (Bottom of Page)"/>
        <w:docPartUnique/>
      </w:docPartObj>
    </w:sdtPr>
    <w:sdtContent>
      <w:p w14:paraId="73FC6A06" w14:textId="00670D3B" w:rsidR="00C71A51" w:rsidRDefault="00C71A51" w:rsidP="00453A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922451" w14:textId="77777777" w:rsidR="00C71A51" w:rsidRDefault="00C71A51" w:rsidP="00C71A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13608505"/>
      <w:docPartObj>
        <w:docPartGallery w:val="Page Numbers (Bottom of Page)"/>
        <w:docPartUnique/>
      </w:docPartObj>
    </w:sdtPr>
    <w:sdtContent>
      <w:p w14:paraId="02981638" w14:textId="7151DA1E" w:rsidR="00C71A51" w:rsidRDefault="00C71A51" w:rsidP="00453A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5F652C" w14:textId="77777777" w:rsidR="00C71A51" w:rsidRDefault="00C71A51" w:rsidP="00C71A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2ABB6" w14:textId="77777777" w:rsidR="00CB3689" w:rsidRDefault="00CB3689">
      <w:pPr>
        <w:spacing w:after="0" w:line="240" w:lineRule="auto"/>
      </w:pPr>
      <w:r>
        <w:separator/>
      </w:r>
    </w:p>
  </w:footnote>
  <w:footnote w:type="continuationSeparator" w:id="0">
    <w:p w14:paraId="33FBFE2E" w14:textId="77777777" w:rsidR="00CB3689" w:rsidRDefault="00CB3689">
      <w:pPr>
        <w:spacing w:after="0" w:line="240" w:lineRule="auto"/>
      </w:pPr>
      <w:r>
        <w:continuationSeparator/>
      </w:r>
    </w:p>
  </w:footnote>
  <w:footnote w:id="1">
    <w:p w14:paraId="69B00F56" w14:textId="470B4B4C"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El","author":[{"dropping-particle":"","family":"Undang-Undang Republik Indonesia","given":"","non-dropping-particle":"","parse-names":false,"suffix":""}],"container-title":"Database Peraturan Bpk Ri","id":"ITEM-1","issued":{"date-parts":[["2004"]]},"page":"55","title":"Undang-Undang Republik Indonesia Nomor 37 Tahun 2004 Tentang Kepailitan Dan Penundaan Kewajiban Pembayaran Utang","type":"article-journal"},"uris":["http://www.mendeley.com/documents/?uuid=4bfb528f-db92-4fea-95e0-875188e3e988"]}],"mendeley":{"formattedCitation":"Undang-Undang Republik Indonesia, “Undang-Undang Republik Indonesia Nomor 37 Tahun 2004 Tentang Kepailitan Dan Penundaan Kewajiban Pembayaran Utang,” &lt;i&gt;Database Peraturan Bpk Ri&lt;/i&gt;, 2004, 55.","plainTextFormattedCitation":"Undang-Undang Republik Indonesia, “Undang-Undang Republik Indonesia Nomor 37 Tahun 2004 Tentang Kepailitan Dan Penundaan Kewajiban Pembayaran Utang,” Database Peraturan Bpk Ri, 2004, 55.","previouslyFormattedCitation":"Undang-Undang Republik Indonesia, “Undang-Undang Republik Indonesia Nomor 37 Tahun 2004 Tentang Kepailitan Dan Penundaan Kewajiban Pembayaran Utang,” &lt;i&gt;Database Peraturan Bpk Ri&lt;/i&gt;, 2004, 55."},"properties":{"noteIndex":1},"schema":"https://github.com/citation-style-language/schema/raw/master/csl-citation.json"}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Law of the Republic of Indonesia, "Law of the Republic of Indonesia Number 37 of 2004 concerning Bankruptcy and Suspension of Debt Payment Obligations," </w:t>
      </w:r>
      <w:r w:rsidRPr="00203CAF">
        <w:rPr>
          <w:rFonts w:ascii="Times New Roman" w:hAnsi="Times New Roman" w:cs="Times New Roman"/>
          <w:i/>
          <w:noProof/>
        </w:rPr>
        <w:t>Database of Bpk Ri Regulations</w:t>
      </w:r>
      <w:r w:rsidRPr="00203CAF">
        <w:rPr>
          <w:rFonts w:ascii="Times New Roman" w:hAnsi="Times New Roman" w:cs="Times New Roman"/>
          <w:noProof/>
        </w:rPr>
        <w:t>, 2004, 55.</w:t>
      </w:r>
      <w:r w:rsidRPr="00203CAF">
        <w:rPr>
          <w:rFonts w:ascii="Times New Roman" w:hAnsi="Times New Roman" w:cs="Times New Roman"/>
        </w:rPr>
        <w:fldChar w:fldCharType="end"/>
      </w:r>
    </w:p>
  </w:footnote>
  <w:footnote w:id="2">
    <w:p w14:paraId="12047E36" w14:textId="5EBE1A16" w:rsidR="00696ECB" w:rsidRPr="00696ECB" w:rsidRDefault="00203CAF" w:rsidP="00A00788">
      <w:pPr>
        <w:pStyle w:val="FootnoteText"/>
        <w:ind w:firstLine="283"/>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00696ECB" w:rsidRPr="00696ECB">
        <w:rPr>
          <w:rFonts w:ascii="Times New Roman" w:hAnsi="Times New Roman" w:cs="Times New Roman"/>
        </w:rPr>
        <w:fldChar w:fldCharType="begin" w:fldLock="1"/>
      </w:r>
      <w:r w:rsidR="00696ECB" w:rsidRPr="00696ECB">
        <w:rPr>
          <w:rFonts w:ascii="Times New Roman" w:hAnsi="Times New Roman" w:cs="Times New Roman"/>
        </w:rPr>
        <w:instrText>ADDIN CSL_CITATION {"citationItems":[{"id":"ITEM-1","itemData":{"author":[{"dropping-particle":"","family":"Sjahdeini","given":"Sutan Remy","non-dropping-particle":"","parse-names":false,"suffix":""}],"container-title":"Jakarta: Pustaka Utama Grafiti","id":"ITEM-1","issued":{"date-parts":[["2023"]]},"title":"Hukum Kepailitan Memahami Undang-Undang No. 37 Tahun 2004 Tentang Kepailitan","type":"article-journal"},"uris":["http://www.mendeley.com/documents/?uuid=f828509e-dbc0-4a9b-bc70-607257736b3b"]}],"mendeley":{"formattedCitation":"Sutan Remy Sjahdeini, “Hukum Kepailitan Memahami Undang-Undang No. 37 Tahun 2004 Tentang Kepailitan,” &lt;i&gt;Jakarta: Pustaka Utama Grafiti&lt;/i&gt;, 2023.","plainTextFormattedCitation":"Sutan Remy Sjahdeini, “Hukum Kepailitan Memahami Undang-Undang No. 37 Tahun 2004 Tentang Kepailitan,” Jakarta: Pustaka Utama Grafiti, 2023.","previouslyFormattedCitation":"Sutan Remy Sjahdeini, “Hukum Kepailitan Memahami Undang-Undang No. 37 Tahun 2004 Tentang Kepailitan,” &lt;i&gt;Jakarta: Pustaka Utama Grafiti&lt;/i&gt;, 2023."},"properties":{"noteIndex":2},"schema":"https://github.com/citation-style-language/schema/raw/master/csl-citation.json"}</w:instrText>
      </w:r>
      <w:r w:rsidR="00696ECB" w:rsidRPr="00696ECB">
        <w:rPr>
          <w:rFonts w:ascii="Times New Roman" w:hAnsi="Times New Roman" w:cs="Times New Roman"/>
        </w:rPr>
        <w:fldChar w:fldCharType="separate"/>
      </w:r>
      <w:r w:rsidR="00696ECB" w:rsidRPr="00696ECB">
        <w:rPr>
          <w:rFonts w:ascii="Times New Roman" w:hAnsi="Times New Roman" w:cs="Times New Roman"/>
        </w:rPr>
        <w:t xml:space="preserve">Sutan Remy Sjahdeini, </w:t>
      </w:r>
      <w:r w:rsidR="00696ECB" w:rsidRPr="00A00788">
        <w:rPr>
          <w:rFonts w:ascii="Times New Roman" w:hAnsi="Times New Roman" w:cs="Times New Roman"/>
          <w:i/>
          <w:iCs/>
        </w:rPr>
        <w:t>Hukum Kepailitan Memahami Undang-Undang No. 37 Tahun 2004 Tentang Kepailitan,</w:t>
      </w:r>
      <w:r w:rsidR="00696ECB" w:rsidRPr="00696ECB">
        <w:rPr>
          <w:rFonts w:ascii="Times New Roman" w:hAnsi="Times New Roman" w:cs="Times New Roman"/>
        </w:rPr>
        <w:t xml:space="preserve"> </w:t>
      </w:r>
      <w:r w:rsidR="00A00788">
        <w:rPr>
          <w:rFonts w:ascii="Times New Roman" w:hAnsi="Times New Roman" w:cs="Times New Roman"/>
        </w:rPr>
        <w:t>(</w:t>
      </w:r>
      <w:r w:rsidR="00696ECB" w:rsidRPr="00696ECB">
        <w:rPr>
          <w:rFonts w:ascii="Times New Roman" w:hAnsi="Times New Roman" w:cs="Times New Roman"/>
          <w:i/>
        </w:rPr>
        <w:t>Jakarta: Pustaka Utama Grafiti</w:t>
      </w:r>
      <w:r w:rsidR="00696ECB" w:rsidRPr="00696ECB">
        <w:rPr>
          <w:rFonts w:ascii="Times New Roman" w:hAnsi="Times New Roman" w:cs="Times New Roman"/>
        </w:rPr>
        <w:t>, 2023</w:t>
      </w:r>
      <w:r w:rsidR="00A00788">
        <w:rPr>
          <w:rFonts w:ascii="Times New Roman" w:hAnsi="Times New Roman" w:cs="Times New Roman"/>
        </w:rPr>
        <w:t>)</w:t>
      </w:r>
      <w:r w:rsidR="00696ECB" w:rsidRPr="00696ECB">
        <w:rPr>
          <w:rFonts w:ascii="Times New Roman" w:hAnsi="Times New Roman" w:cs="Times New Roman"/>
        </w:rPr>
        <w:t>.</w:t>
      </w:r>
      <w:r w:rsidR="00696ECB" w:rsidRPr="00696ECB">
        <w:rPr>
          <w:rFonts w:ascii="Times New Roman" w:hAnsi="Times New Roman" w:cs="Times New Roman"/>
        </w:rPr>
        <w:fldChar w:fldCharType="end"/>
      </w:r>
    </w:p>
    <w:p w14:paraId="45D5B154" w14:textId="516A8AE0" w:rsidR="00203CAF" w:rsidRPr="00203CAF" w:rsidRDefault="00203CAF" w:rsidP="00A00788">
      <w:pPr>
        <w:pStyle w:val="FootnoteText"/>
        <w:ind w:left="142" w:hanging="142"/>
        <w:jc w:val="both"/>
        <w:rPr>
          <w:rFonts w:ascii="Times New Roman" w:hAnsi="Times New Roman" w:cs="Times New Roman"/>
          <w:lang w:val="en-US"/>
        </w:rPr>
      </w:pPr>
    </w:p>
  </w:footnote>
  <w:footnote w:id="3">
    <w:p w14:paraId="5360ED39" w14:textId="066E20B9"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{"citationItems":[{"id":"ITEM-1","itemData":{"ISBN":"9780195340174","author":[{"dropping-particle":"","family":"Wessels","given":"B","non-dropping-particle":"","parse-names":false,"suffix":""},{"dropping-particle":"","family":"Markell","given":"B A","non-dropping-particle":"","parse-names":false,"suffix":""},{"dropping-particle":"","family":"Kilborn","given":"J J","non-dropping-particle":"","parse-names":false,"suffix":""},{"dropping-particle":"","family":"Bankruptcy","given":"American College of","non-dropping-particle":"","parse-names":false,"suffix":""},{"dropping-particle":"","family":"Institute","given":"International Insolvency","non-dropping-particle":"","parse-names":false,"suffix":""}],"container-title":"Oxford University Press","id":"ITEM-1","issued":{"date-parts":[["2023"]]},"page":"268","publisher":"Oxford University Press","title":"International Cooperation in Bankruptcy and Insolvency Matters","type":"chapter"},"uris":["http://www.mendeley.com/documents/?uuid=e47ff545-16f4-4f84-9c14-3eb4d27fc7cc"]}],"mendeley":{"formattedCitation":"B Wessels et al., “International Cooperation in Bankruptcy and Insolvency Matters,” in &lt;i&gt;Oxford University Press&lt;/i&gt; (Oxford University Press, 2023), 268, https://books.google.co.id/books?id=GtznCwAAQBAJ.","plainTextFormattedCitation":"B Wessels et al., “International Cooperation in Bankruptcy and Insolvency Matters,” in Oxford University Press (Oxford University Press, 2023), 268, https://books.google.co.id/books?id=GtznCwAAQBAJ.","previouslyFormattedCitation":"B Wessels et al., “International Cooperation in Bankruptcy and Insolvency Matters,” in &lt;i&gt;Oxford University Press&lt;/i&gt; (Oxford University Press, 2023), 268, https://books.google.co.id/books?id=GtznCwAAQBAJ."},"properties":{"noteIndex":3},"schema":"https://github.com/citation-style-language/schema/raw/master/csl-citation.json"}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B Wessels et al., </w:t>
      </w:r>
      <w:r w:rsidRPr="00A00788">
        <w:rPr>
          <w:rFonts w:ascii="Times New Roman" w:hAnsi="Times New Roman" w:cs="Times New Roman"/>
          <w:i/>
          <w:iCs/>
          <w:noProof/>
        </w:rPr>
        <w:t>International Cooperation in Bankruptcy and Insolvency Matters,</w:t>
      </w:r>
      <w:r w:rsidR="00A00788">
        <w:rPr>
          <w:rFonts w:ascii="Times New Roman" w:hAnsi="Times New Roman" w:cs="Times New Roman"/>
          <w:i/>
          <w:iCs/>
          <w:noProof/>
        </w:rPr>
        <w:t xml:space="preserve"> </w:t>
      </w:r>
      <w:r w:rsidRPr="00203CAF">
        <w:rPr>
          <w:rFonts w:ascii="Times New Roman" w:hAnsi="Times New Roman" w:cs="Times New Roman"/>
          <w:noProof/>
        </w:rPr>
        <w:t>(Oxford University Press, 2023)</w:t>
      </w:r>
      <w:r w:rsidR="00A00788">
        <w:rPr>
          <w:rFonts w:ascii="Times New Roman" w:hAnsi="Times New Roman" w:cs="Times New Roman"/>
          <w:noProof/>
        </w:rPr>
        <w:t xml:space="preserve"> : </w:t>
      </w:r>
      <w:r w:rsidRPr="00203CAF">
        <w:rPr>
          <w:rFonts w:ascii="Times New Roman" w:hAnsi="Times New Roman" w:cs="Times New Roman"/>
          <w:noProof/>
        </w:rPr>
        <w:t>268</w:t>
      </w:r>
      <w:r w:rsidR="00A00788">
        <w:rPr>
          <w:rFonts w:ascii="Times New Roman" w:hAnsi="Times New Roman" w:cs="Times New Roman"/>
          <w:noProof/>
        </w:rPr>
        <w:t>.</w:t>
      </w:r>
      <w:r w:rsidRPr="00203CAF">
        <w:rPr>
          <w:rFonts w:ascii="Times New Roman" w:hAnsi="Times New Roman" w:cs="Times New Roman"/>
        </w:rPr>
        <w:fldChar w:fldCharType="end"/>
      </w:r>
    </w:p>
  </w:footnote>
  <w:footnote w:id="4">
    <w:p w14:paraId="7262E608" w14:textId="710534D8"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{"citationItems":[{"id":"ITEM-1","itemData":{"author":[{"dropping-particle":"","family":"UNCITRAL","given":"","non-dropping-particle":"","parse-names":false,"suffix":""}],"container-title":"United Nations","id":"ITEM-1","issued":{"date-parts":[["2022"]]},"title":"UNCITRAL Model Law on Cross-Border Insolvency with Guide to Enactment and Interpretation","type":"article-journal"},"uris":["http://www.mendeley.com/documents/?uuid=3492dce0-2ef1-435a-9367-bb1e8f3a655b"]}],"mendeley":{"formattedCitation":"UNCITRAL, “UNCITRAL Model Law on Cross-Border Insolvency with Guide to Enactment and Interpretation,” &lt;i&gt;United Nations&lt;/i&gt;, 2022, https://uncitral.un.org/en/texts/insolvency/modellaw/cross-border_insolvency.","plainTextFormattedCitation":"UNCITRAL, “UNCITRAL Model Law on Cross-Border Insolvency with Guide to Enactment and Interpretation,” United Nations, 2022, https://uncitral.un.org/en/texts/insolvency/modellaw/cross-border_insolvency.","previouslyFormattedCitation":"UNCITRAL, “UNCITRAL Model Law on Cross-Border Insolvency with Guide to Enactment and Interpretation,” &lt;i&gt;United Nations&lt;/i&gt;, 2022, https://uncitral.un.org/en/texts/insolvency/modellaw/cross-border_insolvency."},"properties":{"noteIndex":4},"schema":"https://github.com/citation-style-language/schema/raw/master/csl-citation.json"}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UNCITRAL, “UNCITRAL Model Law on Cross-Border Insolvency with Guide to Enactment and Interpretation,” </w:t>
      </w:r>
      <w:r w:rsidRPr="00203CAF">
        <w:rPr>
          <w:rFonts w:ascii="Times New Roman" w:hAnsi="Times New Roman" w:cs="Times New Roman"/>
          <w:i/>
          <w:noProof/>
        </w:rPr>
        <w:t>United Nations</w:t>
      </w:r>
      <w:r w:rsidRPr="00203CAF">
        <w:rPr>
          <w:rFonts w:ascii="Times New Roman" w:hAnsi="Times New Roman" w:cs="Times New Roman"/>
          <w:noProof/>
        </w:rPr>
        <w:t>, 2022, https://uncitral.un.org/en/texts/insolvency/modellaw/cross-border_insolvency.</w:t>
      </w:r>
      <w:r w:rsidRPr="00203CAF">
        <w:rPr>
          <w:rFonts w:ascii="Times New Roman" w:hAnsi="Times New Roman" w:cs="Times New Roman"/>
        </w:rPr>
        <w:fldChar w:fldCharType="end"/>
      </w:r>
    </w:p>
  </w:footnote>
  <w:footnote w:id="5">
    <w:p w14:paraId="41536603" w14:textId="49E9FDD9"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00696ECB" w:rsidRPr="00696ECB">
        <w:rPr>
          <w:rFonts w:ascii="Times New Roman" w:hAnsi="Times New Roman" w:cs="Times New Roman"/>
        </w:rPr>
        <w:fldChar w:fldCharType="begin" w:fldLock="1"/>
      </w:r>
      <w:r w:rsidR="00696ECB" w:rsidRPr="00696ECB">
        <w:rPr>
          <w:rFonts w:ascii="Times New Roman" w:hAnsi="Times New Roman" w:cs="Times New Roman"/>
        </w:rPr>
        <w:instrText>ADDIN CSL_CITATION {"citationItems":[{"id":"ITEM-1","itemData":{"DOI":"10.26623/julr.v4i2.4238","abstract":"Penelitian ini bertujuan untuk mengetahui praktek eksekusi harta pailit yang di dalam pelaksanaannya terdapat problematika dan juga mekanisme pemberesan harta pailit dalam cross border insolvency. Terkait dengan adanya kepailitan lintas batas negara, Indonesia belum mengatur mengenai peraturan yang mengatur mengenai hal tersebut sehingga muncul sebuah problematika dalam eksekusi kepailitan lintas batas negara. Metode penelitian yang digunakan yaitu metode pendekatan yuridis normatif. Cross border insolvency dapat terjadi apabila aset atau utang seorang debitur terletak di lebih dari satu negara atau apabila debitur termasuk ke dalam yurisdiksi pengadilan pada dua atau lebih negara. Dalam kaitannya dengan kasus kepailitan yang bersifat lintas batas, sering terjadi suatu keadaan dimana terdapat debitor yang akan digugat pailit berkedudukan di suatu negara, tetapi ia juga melakukan kegiatan usaha dan memiliki aset di luar negeri. Begitupun sebaliknya, debitor asing yang akan digugat pailit, tetapi ia memiliki kegiatan usaha ataupun aset di Indonesia. Hal tersebut mengakibatkan keadaan harta debitur yang melintasi batas negara sering menimbulkan permasalahan mengenai batasan harta debitur yang termasuk ke dalam boedel pailit.","author":[{"dropping-particle":"","family":"Puspitasari","given":"Lia Nopiharni","non-dropping-particle":"","parse-names":false,"suffix":""},{"dropping-particle":"","family":"Septiandani","given":"Dian","non-dropping-particle":"","parse-names":false,"suffix":""},{"dropping-particle":"","family":"Ratna Sediati","given":"Diah Sulistyani","non-dropping-particle":"","parse-names":false,"suffix":""},{"dropping-particle":"","family":"Sukarna","given":"Kadi","non-dropping-particle":"","parse-names":false,"suffix":""}],"container-title":"Jurnal Usm Law Review","id":"ITEM-1","issue":"2","issued":{"date-parts":[["2021"]]},"page":"743-755","title":"Problematika Eksekusi Harta Pailit Dalam Cross Border Insolvency","type":"article-journal","volume":"4"},"uris":["http://www.mendeley.com/documents/?uuid=88961721-6949-4567-8d13-0055f4972c02"]}],"mendeley":{"formattedCitation":"Lia Nopiharni Puspitasari et al., “Problematika Eksekusi Harta Pailit Dalam Cross Border Insolvency,” &lt;i&gt;Jurnal Usm Law Review&lt;/i&gt; 4, no. 2 (2021): 743–55, https://doi.org/10.26623/julr.v4i2.4238.","plainTextFormattedCitation":"Lia Nopiharni Puspitasari et al., “Problematika Eksekusi Harta Pailit Dalam Cross Border Insolvency,” Jurnal Usm Law Review 4, no. 2 (2021): 743–55, https://doi.org/10.26623/julr.v4i2.4238.","previouslyFormattedCitation":"Lia Nopiharni Puspitasari et al., “Problematika Eksekusi Harta Pailit Dalam Cross Border Insolvency,” &lt;i&gt;Jurnal Usm Law Review&lt;/i&gt; 4, no. 2 (2021): 743–55, https://doi.org/10.26623/julr.v4i2.4238."},"properties":{"noteIndex":5},"schema":"https://github.com/citation-style-language/schema/raw/master/csl-citation.json"}</w:instrText>
      </w:r>
      <w:r w:rsidR="00696ECB" w:rsidRPr="00696ECB">
        <w:rPr>
          <w:rFonts w:ascii="Times New Roman" w:hAnsi="Times New Roman" w:cs="Times New Roman"/>
        </w:rPr>
        <w:fldChar w:fldCharType="separate"/>
      </w:r>
      <w:r w:rsidR="00696ECB" w:rsidRPr="00696ECB">
        <w:rPr>
          <w:rFonts w:ascii="Times New Roman" w:hAnsi="Times New Roman" w:cs="Times New Roman"/>
        </w:rPr>
        <w:t xml:space="preserve">Lia Nopiharni Puspitasari et al., “Problematika Eksekusi Harta Pailit Dalam Cross Border Insolvency,” </w:t>
      </w:r>
      <w:r w:rsidR="00696ECB" w:rsidRPr="00696ECB">
        <w:rPr>
          <w:rFonts w:ascii="Times New Roman" w:hAnsi="Times New Roman" w:cs="Times New Roman"/>
          <w:i/>
        </w:rPr>
        <w:t>Jurnal Usm Law Review</w:t>
      </w:r>
      <w:r w:rsidR="00696ECB" w:rsidRPr="00696ECB">
        <w:rPr>
          <w:rFonts w:ascii="Times New Roman" w:hAnsi="Times New Roman" w:cs="Times New Roman"/>
        </w:rPr>
        <w:t xml:space="preserve"> 4, no. 2 (2021)</w:t>
      </w:r>
      <w:r w:rsidR="00A00788">
        <w:rPr>
          <w:rFonts w:ascii="Times New Roman" w:hAnsi="Times New Roman" w:cs="Times New Roman"/>
        </w:rPr>
        <w:t xml:space="preserve"> </w:t>
      </w:r>
      <w:r w:rsidR="00696ECB" w:rsidRPr="00696ECB">
        <w:rPr>
          <w:rFonts w:ascii="Times New Roman" w:hAnsi="Times New Roman" w:cs="Times New Roman"/>
        </w:rPr>
        <w:t>: 743–55, https://doi.org/10.26623/julr.v4i2.4238.</w:t>
      </w:r>
      <w:r w:rsidR="00696ECB" w:rsidRPr="00696ECB">
        <w:rPr>
          <w:rFonts w:ascii="Times New Roman" w:hAnsi="Times New Roman" w:cs="Times New Roman"/>
        </w:rPr>
        <w:fldChar w:fldCharType="end"/>
      </w:r>
    </w:p>
  </w:footnote>
  <w:footnote w:id="6">
    <w:p w14:paraId="1D412B24" w14:textId="6B910DD0"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{"citationItems":[{"id":"ITEM-1","itemData":{"DOI":"10.22146/ikat.v5i1.64157","ISSN":"2580-6580","abstract":"Insolvency institutions have an important role in realizing legal certainty in the settlement of debt and credit disputes, which is one of the risks that arise from the rapid development of international business transactions. Bankruptcy cases containing foreign elements are called cross-border insolvency. The problems that arise in cross-border insolvency are more complex, especially regarding the execution of assets of bankrupt debtors situated outside Indonesia's jurisdiction. This study uses a doctrinal legal research method with a statutory approach. Bankruptcy in Indonesia is regulated in Law Number 37 of 2004 concerning Bankruptcy and Postponement of Debt Payment Obligations. In this law, the execution of assets of bankrupt debtors outside the jurisdiction of Indonesia has not been regulated so that the curator as the body appointed to carry out the execution cannot carry out the task as mandated by the law. The non-executable assets of the bankrupt debtor outside the jurisdiction of Indonesia have caused the bankruptcy estate (de boedel) ineffective; therefore, creditors do not receive a maximum payment related to debtor's debt. For this reason, Indonesia needs to adopt the UNCITRAL model of law on cross-border insolvency or to make bilateral and/or multilateral agreements that are reciprocal in nature related to the execution of bankrupt debtors' assets located outside Indonesia's jurisdiction.             ","author":[{"dropping-particle":"","family":"Dewi","given":"Putu Eka Trisna","non-dropping-particle":"","parse-names":false,"suffix":""}],"container-title":"IKAT: The Indonesian Journal of Southeast Asian Studies","id":"ITEM-1","issue":"1","issued":{"date-parts":[["2021"]]},"page":"47","title":"The Cross-Border Insolvency in the Execution of Bankrupt Assets Outside Indonesian Jurisdiction: A Comparative Study with Malaysia, Singapore, and the Philippines","type":"article-journal","volume":"5"},"uris":["http://www.mendeley.com/documents/?uuid=0c4661d7-992f-44be-a7e9-b886807e8323"]}],"mendeley":{"formattedCitation":"Putu Eka Trisna Dewi, “The Cross-Border Insolvency in the Execution of Bankrupt Assets Outside Indonesian Jurisdiction: A Comparative Study with Malaysia, Singapore, and the Philippines,” &lt;i&gt;IKAT: The Indonesian Journal of Southeast Asian Studies&lt;/i&gt; 5, no. 1 (2021): 47, https://doi.org/10.22146/ikat.v5i1.64157.","plainTextFormattedCitation":"Putu Eka Trisna Dewi, “The Cross-Border Insolvency in the Execution of Bankrupt Assets Outside Indonesian Jurisdiction: A Comparative Study with Malaysia, Singapore, and the Philippines,” IKAT: The Indonesian Journal of Southeast Asian Studies 5, no. 1 (2021): 47, https://doi.org/10.22146/ikat.v5i1.64157.","previouslyFormattedCitation":"Putu Eka Trisna Dewi, “The Cross-Border Insolvency in the Execution of Bankrupt Assets Outside Indonesian Jurisdiction: A Comparative Study with Malaysia, Singapore, and the Philippines,” &lt;i&gt;IKAT: The Indonesian Journal of Southeast Asian Studies&lt;/i&gt; 5, no. 1 (2021): 47, https://doi.org/10.22146/ikat.v5i1.64157."},"properties":{"noteIndex":6},"schema":"https://github.com/citation-style-language/schema/raw/master/csl-citation.json"}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Putu Eka Trisna Dewi, “The Cross-Border Insolvency in the Execution of Bankrupt Assets Outside Indonesian Jurisdiction: A Comparative Study with Malaysia, Singapore, and the Philippines,” </w:t>
      </w:r>
      <w:r w:rsidRPr="00203CAF">
        <w:rPr>
          <w:rFonts w:ascii="Times New Roman" w:hAnsi="Times New Roman" w:cs="Times New Roman"/>
          <w:i/>
          <w:noProof/>
        </w:rPr>
        <w:t>IKAT: The Indonesian Journal of Southeast Asian Studies</w:t>
      </w:r>
      <w:r w:rsidRPr="00203CAF">
        <w:rPr>
          <w:rFonts w:ascii="Times New Roman" w:hAnsi="Times New Roman" w:cs="Times New Roman"/>
          <w:noProof/>
        </w:rPr>
        <w:t xml:space="preserve"> 5, no. 1 (2021): 47, https://doi.org/10.22146/ikat.v5i1.64157.</w:t>
      </w:r>
      <w:r w:rsidRPr="00203CAF">
        <w:rPr>
          <w:rFonts w:ascii="Times New Roman" w:hAnsi="Times New Roman" w:cs="Times New Roman"/>
        </w:rPr>
        <w:fldChar w:fldCharType="end"/>
      </w:r>
    </w:p>
  </w:footnote>
  <w:footnote w:id="7">
    <w:p w14:paraId="633D8FCA" w14:textId="1E7D9961" w:rsidR="00415731" w:rsidRPr="00415731"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00415731" w:rsidRPr="00415731">
        <w:rPr>
          <w:rFonts w:ascii="Times New Roman" w:hAnsi="Times New Roman" w:cs="Times New Roman"/>
        </w:rPr>
        <w:fldChar w:fldCharType="begin" w:fldLock="1"/>
      </w:r>
      <w:r w:rsidR="00415731" w:rsidRPr="00415731">
        <w:rPr>
          <w:rFonts w:ascii="Times New Roman" w:hAnsi="Times New Roman" w:cs="Times New Roman"/>
        </w:rPr>
        <w:instrText>ADDIN CSL_CITATION {"citationItems":[{"id":"ITEM-1","itemData":{"author":[{"dropping-particle":"","family":"Hartini","given":"Rahayu","non-dropping-particle":"","parse-names":false,"suffix":""}],"container-title":"Malang: UPT Percetakan Uiversitas Muhammadiyah","id":"ITEM-1","issued":{"date-parts":[["2021"]]},"title":"Hukum Kepailitan Edisi Revisi Berdasarkan UU No 37 tahun 2004 tentang Kepailitan dan Penundaan Kewajiban Pembayaran Utang","type":"article-journal"},"uris":["http://www.mendeley.com/documents/?uuid=4f98f8b3-f433-42df-8854-968186666730"]},{"id":"ITEM-2","itemData":{"ISBN":"9789790070516","author":[{"dropping-particle":"","family":"Jono","given":"S H","non-dropping-particle":"","parse-names":false,"suffix":""}],"container-title":"Sinar Grafika","id":"ITEM-2","issued":{"date-parts":[["2025"]]},"page":"230","publisher":"Sinar Grafika","title":"Hukum Kepailitan","type":"chapter"},"uris":["http://www.mendeley.com/documents/?uuid=33292ee9-2917-4c1b-959c-1a6f27cc489c"]}],"mendeley":{"formattedCitation":"Rahayu Hartini, “Hukum Kepailitan Edisi Revisi Berdasarkan UU No 37 Tahun 2004 Tentang Kepailitan Dan Penundaan Kewajiban Pembayaran Utang,” &lt;i&gt;Malang: UPT Percetakan Uiversitas Muhammadiyah&lt;/i&gt;, 2021; S H Jono, “Hukum Kepailitan,” in &lt;i&gt;Sinar Grafika&lt;/i&gt; (Sinar Grafika, 2025), 230, https://books.google.co.id/books?id=MJmSEQAAQBAJ.","plainTextFormattedCitation":"Rahayu Hartini, “Hukum Kepailitan Edisi Revisi Berdasarkan UU No 37 Tahun 2004 Tentang Kepailitan Dan Penundaan Kewajiban Pembayaran Utang,” Malang: UPT Percetakan Uiversitas Muhammadiyah, 2021; S H Jono, “Hukum Kepailitan,” in Sinar Grafika (Sinar Grafika, 2025), 230, https://books.google.co.id/books?id=MJmSEQAAQBAJ.","previouslyFormattedCitation":"Rahayu Hartini, “Hukum Kepailitan Edisi Revisi Berdasarkan UU No 37 Tahun 2004 Tentang Kepailitan Dan Penundaan Kewajiban Pembayaran Utang,” &lt;i&gt;Malang: UPT Percetakan Uiversitas Muhammadiyah&lt;/i&gt;, 2021; S H Jono, “Hukum Kepailitan,” in &lt;i&gt;Sinar Grafika&lt;/i&gt; (Sinar Grafika, 2025), 230, https://books.google.co.id/books?id=MJmSEQAAQBAJ."},"properties":{"noteIndex":7},"schema":"https://github.com/citation-style-language/schema/raw/master/csl-citation.json"}</w:instrText>
      </w:r>
      <w:r w:rsidR="00415731" w:rsidRPr="00415731">
        <w:rPr>
          <w:rFonts w:ascii="Times New Roman" w:hAnsi="Times New Roman" w:cs="Times New Roman"/>
        </w:rPr>
        <w:fldChar w:fldCharType="separate"/>
      </w:r>
      <w:r w:rsidR="00415731" w:rsidRPr="00415731">
        <w:rPr>
          <w:rFonts w:ascii="Times New Roman" w:hAnsi="Times New Roman" w:cs="Times New Roman"/>
        </w:rPr>
        <w:t xml:space="preserve">Rahayu Hartini, </w:t>
      </w:r>
      <w:r w:rsidR="00415731" w:rsidRPr="00A00788">
        <w:rPr>
          <w:rFonts w:ascii="Times New Roman" w:hAnsi="Times New Roman" w:cs="Times New Roman"/>
          <w:i/>
          <w:iCs/>
        </w:rPr>
        <w:t xml:space="preserve">Hukum Kepailitan Edisi Revisi Berdasarkan UU No 37 Tahun 2004 Tentang Kepailitan Dan Penundaan Kewajiban Pembayaran Utang, </w:t>
      </w:r>
      <w:r w:rsidR="00A00788">
        <w:rPr>
          <w:rFonts w:ascii="Times New Roman" w:hAnsi="Times New Roman" w:cs="Times New Roman"/>
          <w:i/>
          <w:iCs/>
        </w:rPr>
        <w:t>(</w:t>
      </w:r>
      <w:r w:rsidR="00415731" w:rsidRPr="00A00788">
        <w:rPr>
          <w:rFonts w:ascii="Times New Roman" w:hAnsi="Times New Roman" w:cs="Times New Roman"/>
          <w:iCs/>
        </w:rPr>
        <w:t>Malang: UPT Percetakan Uiversitas Muhammadiyah,</w:t>
      </w:r>
      <w:r w:rsidR="00415731" w:rsidRPr="00415731">
        <w:rPr>
          <w:rFonts w:ascii="Times New Roman" w:hAnsi="Times New Roman" w:cs="Times New Roman"/>
        </w:rPr>
        <w:t xml:space="preserve"> 2021</w:t>
      </w:r>
      <w:r w:rsidR="00A00788">
        <w:rPr>
          <w:rFonts w:ascii="Times New Roman" w:hAnsi="Times New Roman" w:cs="Times New Roman"/>
        </w:rPr>
        <w:t>)</w:t>
      </w:r>
      <w:r w:rsidR="00415731">
        <w:rPr>
          <w:rFonts w:ascii="Times New Roman" w:hAnsi="Times New Roman" w:cs="Times New Roman"/>
        </w:rPr>
        <w:t xml:space="preserve"> dalam </w:t>
      </w:r>
      <w:r w:rsidR="00415731" w:rsidRPr="00415731">
        <w:rPr>
          <w:rFonts w:ascii="Times New Roman" w:hAnsi="Times New Roman" w:cs="Times New Roman"/>
        </w:rPr>
        <w:t xml:space="preserve">S H Jono, </w:t>
      </w:r>
      <w:r w:rsidR="00415731" w:rsidRPr="00A00788">
        <w:rPr>
          <w:rFonts w:ascii="Times New Roman" w:hAnsi="Times New Roman" w:cs="Times New Roman"/>
          <w:i/>
          <w:iCs/>
        </w:rPr>
        <w:t>Hukum Kepailitan,</w:t>
      </w:r>
      <w:r w:rsidR="00415731">
        <w:rPr>
          <w:rFonts w:ascii="Times New Roman" w:hAnsi="Times New Roman" w:cs="Times New Roman"/>
        </w:rPr>
        <w:t xml:space="preserve"> </w:t>
      </w:r>
      <w:r w:rsidR="00415731" w:rsidRPr="00415731">
        <w:rPr>
          <w:rFonts w:ascii="Times New Roman" w:hAnsi="Times New Roman" w:cs="Times New Roman"/>
        </w:rPr>
        <w:t>(</w:t>
      </w:r>
      <w:r w:rsidR="00415731">
        <w:rPr>
          <w:rFonts w:ascii="Times New Roman" w:hAnsi="Times New Roman" w:cs="Times New Roman"/>
        </w:rPr>
        <w:t xml:space="preserve">Jakarta : </w:t>
      </w:r>
      <w:r w:rsidR="00415731" w:rsidRPr="00415731">
        <w:rPr>
          <w:rFonts w:ascii="Times New Roman" w:hAnsi="Times New Roman" w:cs="Times New Roman"/>
        </w:rPr>
        <w:t>Sinar Grafika, 2025)</w:t>
      </w:r>
      <w:r w:rsidR="00415731">
        <w:rPr>
          <w:rFonts w:ascii="Times New Roman" w:hAnsi="Times New Roman" w:cs="Times New Roman"/>
        </w:rPr>
        <w:t xml:space="preserve"> : </w:t>
      </w:r>
      <w:r w:rsidR="00415731" w:rsidRPr="00415731">
        <w:rPr>
          <w:rFonts w:ascii="Times New Roman" w:hAnsi="Times New Roman" w:cs="Times New Roman"/>
        </w:rPr>
        <w:t>230</w:t>
      </w:r>
      <w:r w:rsidR="00A00788">
        <w:rPr>
          <w:rFonts w:ascii="Times New Roman" w:hAnsi="Times New Roman" w:cs="Times New Roman"/>
        </w:rPr>
        <w:t xml:space="preserve">. </w:t>
      </w:r>
      <w:r w:rsidR="00415731" w:rsidRPr="00415731">
        <w:rPr>
          <w:rFonts w:ascii="Times New Roman" w:hAnsi="Times New Roman" w:cs="Times New Roman"/>
        </w:rPr>
        <w:fldChar w:fldCharType="end"/>
      </w:r>
    </w:p>
    <w:p w14:paraId="64BCD7E3" w14:textId="4BC2313E" w:rsidR="00203CAF" w:rsidRPr="00203CAF" w:rsidRDefault="00203CAF" w:rsidP="00203CAF">
      <w:pPr>
        <w:pStyle w:val="FootnoteText"/>
        <w:jc w:val="both"/>
        <w:rPr>
          <w:rFonts w:ascii="Times New Roman" w:hAnsi="Times New Roman" w:cs="Times New Roman"/>
          <w:lang w:val="en-US"/>
        </w:rPr>
      </w:pPr>
    </w:p>
  </w:footnote>
  <w:footnote w:id="8">
    <w:p w14:paraId="5D46181B" w14:textId="7442950C"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{"citationItems":[{"id":"ITEM-1","itemData":{"DOI":"10.20885/iustum.vol30.iss2.art1","ISSN":"08548498","abstract":"The method for forming omnibus laws and regulations is relatively new to positive law for the formation of laws and regulations in Indonesia, considering overlapping regulations are one of the legal issues for reforming laws and regulations in Indonesia that need serious attention. There is a great number of laws and regulations that overlap each other, both horizontally and vertically, resulting in disharmony and legal uncertainty in the laws and regulations in Indonesia and to increase investment value and the national economy which is still relatively low when compared to other countries. This research discusses how the omnibus law concept is applied in other countries in the formation of laws and regulations; and whether the concept of the omnibus law implemented by the Government of Indonesia is in accordance with the objectives of the law and the legal reform of the formation of statutory regulations. This study uses normative research methods. The results of this study conclude that first, other countries, namely Canada, the United States, the Philippines and Vietnam have different legal reasoning, namely as a consolidated norm; increase the investment sector; and the many laws and regulations that overlap with each other and the process of forming laws and regulations is lengthy. Second, the omnibus law method in Indonesia is through Law No. 11 of 2020 on Job Creation which has been revoked by Government Regulation in lieu of Law No. 2 of 2022 does not reflect the objectives of the law (fairness, public benefit and legal certainty) and there are no principles for forming good statutory regulations.","author":[{"dropping-particle":"","family":"Firdaus","given":"Muhammad Ihsan","non-dropping-particle":"","parse-names":false,"suffix":""}],"container-title":"Jurnal Hukum Ius Quia Iustum","id":"ITEM-1","issue":"2","issued":{"date-parts":[["2023"]]},"page":"233-255","title":"Metode Omnibus Law dalam Pembaharuan Hukum Pembentukan Peraturan Perundang-Undangan di Indonesia (Studi Perbandingan Negara Kanada, Amerika Serikat, Filipina dan Vietnam)","type":"article-journal","volume":"30"},"uris":["http://www.mendeley.com/documents/?uuid=0ffda5e8-081a-4494-a6de-28ae2d351310"]}],"mendeley":{"formattedCitation":"Muhammad Ihsan Firdaus, “Metode Omnibus Law Dalam Pembaharuan Hukum Pembentukan Peraturan Perundang-Undangan Di Indonesia (Studi Perbandingan Negara Kanada, Amerika Serikat, Filipina Dan Vietnam),” &lt;i&gt;Jurnal Hukum Ius Quia Iustum&lt;/i&gt; 30, no. 2 (2023): 233–55, https://doi.org/10.20885/iustum.vol30.iss2.art1.","plainTextFormattedCitation":"Muhammad Ihsan Firdaus, “Metode Omnibus Law Dalam Pembaharuan Hukum Pembentukan Peraturan Perundang-Undangan Di Indonesia (Studi Perbandingan Negara Kanada, Amerika Serikat, Filipina Dan Vietnam),” Jurnal Hukum Ius Quia Iustum 30, no. 2 (2023): 233–55, https://doi.org/10.20885/iustum.vol30.iss2.art1.","previouslyFormattedCitation":"Muhammad Ihsan Firdaus, “Metode Omnibus Law Dalam Pembaharuan Hukum Pembentukan Peraturan Perundang-Undangan Di Indonesia (Studi Perbandingan Negara Kanada, Amerika Serikat, Filipina Dan Vietnam),” &lt;i&gt;Jurnal Hukum Ius Quia Iustum&lt;/i&gt; 30, no. 2 (2023): 233–55, https://doi.org/10.20885/iustum.vol30.iss2.art1."},"properties":{"noteIndex":8},"schema":"https://github.com/citation-style-language/schema/raw/master/csl-citation.json"}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Muhammad Ihsan Firdaus, "The Omnibus Law Method in Law Reform in the Formation of Laws and Regulations in Indonesia (A Comparative Study of Canada, the United States, the Philippines and Vietnam)," </w:t>
      </w:r>
      <w:r w:rsidRPr="00203CAF">
        <w:rPr>
          <w:rFonts w:ascii="Times New Roman" w:hAnsi="Times New Roman" w:cs="Times New Roman"/>
          <w:i/>
          <w:noProof/>
        </w:rPr>
        <w:t>Ius Quia Iustum Legal Journal</w:t>
      </w:r>
      <w:r w:rsidRPr="00203CAF">
        <w:rPr>
          <w:rFonts w:ascii="Times New Roman" w:hAnsi="Times New Roman" w:cs="Times New Roman"/>
          <w:noProof/>
        </w:rPr>
        <w:t xml:space="preserve"> 30, no. 2 (2023): 233–55, https://doi.org/10.20885/iustum.vol30.iss2.art1.</w:t>
      </w:r>
      <w:r w:rsidRPr="00203CAF">
        <w:rPr>
          <w:rFonts w:ascii="Times New Roman" w:hAnsi="Times New Roman" w:cs="Times New Roman"/>
        </w:rPr>
        <w:fldChar w:fldCharType="end"/>
      </w:r>
    </w:p>
  </w:footnote>
  <w:footnote w:id="9">
    <w:p w14:paraId="739E5816" w14:textId="0FBAB1D5"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El","author":[{"dropping-particle":"","family":"Undang-Undang Republik Indonesia","given":"","non-dropping-particle":"","parse-names":false,"suffix":""}],"container-title":"Database Peraturan Bpk Ri","id":"ITEM-1","issued":{"date-parts":[["2004"]]},"page":"55","title":"Undang-Undang Republik Indonesia Nomor 37 Tahun 2004 Tentang Kepailitan Dan Penundaan Kewajiban Pembayaran Utang","type":"article-journal"},"uris":["http://www.mendeley.com/documents/?uuid=4bfb528f-db92-4fea-95e0-875188e3e988"]}],"mendeley":{"formattedCitation":"Undang-Undang Republik Indonesia, “Undang-Undang Republik Indonesia Nomor 37 Tahun 2004 Tentang Kepailitan Dan Penundaan Kewajiban Pembayaran Utang.”","plainTextFormattedCitation":"Undang-Undang Republik Indonesia, “Undang-Undang Republik Indonesia Nomor 37 Tahun 2004 Tentang Kepailitan Dan Penundaan Kewajiban Pembayaran Utang.”","previouslyFormattedCitation":"Undang-Undang Republik Indonesia, “Undang-Undang Republik Indonesia Nomor 37 Tahun 2004 Tentang Kepailitan Dan Penundaan Kewajiban Pembayaran Utang.”"},"properties":{"noteIndex":10},"schema":"https://github.com/citation-style-language/schema/raw/master/csl-citation.json"}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Law of the Republic of Indonesia, "Law of the Republic of Indonesia Number 37 of 2004 concerning Bankruptcy and Suspension of Debt Payment Obligations."</w:t>
      </w:r>
      <w:r w:rsidRPr="00203CAF">
        <w:rPr>
          <w:rFonts w:ascii="Times New Roman" w:hAnsi="Times New Roman" w:cs="Times New Roman"/>
        </w:rPr>
        <w:fldChar w:fldCharType="end"/>
      </w:r>
    </w:p>
  </w:footnote>
  <w:footnote w:id="10">
    <w:p w14:paraId="6E60F744" w14:textId="5679B3F1"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{"citationItems":[{"id":"ITEM-1","itemData":{"DOI":"10.37893/jv.v3i2.1136","ISSN":"2715-243X","abstract":"Economic development across countries plays a crucial role in shaping an economic system that adapts to changing times. However, economic activities are inherently linked to various transactions, which may result in companies facing challenges, losses, or even bankruptcy. In Indonesia, bankruptcy regulations are governed by Law No. 37 of 2004 on Bankruptcy and Suspension of Debt Payment Obligations. Indonesia adheres to a territorial principle in handling cross-border insolvency cases, which affects the authority of the trustee and the rights of creditors. This study aims to analyze the legal framework and implications of applying the territorial principle in cross-border insolvency. The findings suggest that the application of the territorial principle exacerbates difficulties and complexities for the trustee in managing the debtor’s bankrupt assets. Furthermore, creditors experience more significant losses. Thus, the territorial principle in cross-border insolvency tends to complicate the trustee’s responsibilities and place creditors at a disadvantage.","author":[{"dropping-particle":"","family":"Hikmah","given":"Nurul","non-dropping-particle":"","parse-names":false,"suffix":""}],"container-title":"Justice Voice","id":"ITEM-1","issue":"2","issued":{"date-parts":[["2024"]]},"page":"87-96","title":"Legal Implications of the Territorial Principle on Cross-Border Insolvency in Indonesian Bankruptcy Law","type":"article-journal","volume":"3"},"uris":["http://www.mendeley.com/documents/?uuid=3e7356f6-fa2a-4190-ae04-c89ec16785bf"]}],"mendeley":{"formattedCitation":"Nurul Hikmah, “Legal Implications of the Territorial Principle on Cross-Border Insolvency in Indonesian Bankruptcy Law,” &lt;i&gt;Justice Voice&lt;/i&gt; 3, no. 2 (2024): 87–96, https://doi.org/10.37893/jv.v3i2.1136.","plainTextFormattedCitation":"Nurul Hikmah, “Legal Implications of the Territorial Principle on Cross-Border Insolvency in Indonesian Bankruptcy Law,” Justice Voice 3, no. 2 (2024): 87–96, https://doi.org/10.37893/jv.v3i2.1136.","previouslyFormattedCitation":"Nurul Hikmah, “Legal Implications of the Territorial Principle on Cross-Border Insolvency in Indonesian Bankruptcy Law,” &lt;i&gt;Justice Voice&lt;/i&gt; 3, no. 2 (2024): 87–96, https://doi.org/10.37893/jv.v3i2.1136."},"properties":{"noteIndex":12},"schema":"https://github.com/citation-style-language/schema/raw/master/csl-citation.json"}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Nurul Hikmah, “Legal Implications of the Territorial Principle on Cross-Border Insolvency in Indonesian Bankruptcy Law,” </w:t>
      </w:r>
      <w:r w:rsidRPr="00203CAF">
        <w:rPr>
          <w:rFonts w:ascii="Times New Roman" w:hAnsi="Times New Roman" w:cs="Times New Roman"/>
          <w:i/>
          <w:noProof/>
        </w:rPr>
        <w:t>Justice Voice</w:t>
      </w:r>
      <w:r w:rsidRPr="00203CAF">
        <w:rPr>
          <w:rFonts w:ascii="Times New Roman" w:hAnsi="Times New Roman" w:cs="Times New Roman"/>
          <w:noProof/>
        </w:rPr>
        <w:t xml:space="preserve"> 3, no. 2 (2024): 87–96, https://doi.org/10.37893/jv.v3i2.1136.</w:t>
      </w:r>
      <w:r w:rsidRPr="00203CAF">
        <w:rPr>
          <w:rFonts w:ascii="Times New Roman" w:hAnsi="Times New Roman" w:cs="Times New Roman"/>
        </w:rPr>
        <w:fldChar w:fldCharType="end"/>
      </w:r>
    </w:p>
  </w:footnote>
  <w:footnote w:id="11">
    <w:p w14:paraId="384F7078" w14:textId="25906CE2"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{"citationItems":[{"id":"ITEM-1","itemData":{"author":[{"dropping-particle":"","family":"Putra","given":"M. Rendy Rifki","non-dropping-particle":"","parse-names":false,"suffix":""}],"container-title":"Istinbath: Jurnal Hukum","id":"ITEM-1","issue":"2","issued":{"date-parts":[["2021"]]},"title":"Eksekusi Putusan Pailit Atas Perusahaan Modal Asing Di Indonesia","type":"article-journal","volume":"18"},"uris":["http://www.mendeley.com/documents/?uuid=2bbe387a-8f26-4753-b61c-b9e1cad16d64"]}],"mendeley":{"formattedCitation":"Putra, “Eksekusi Putusan Pailit Atas Perusahaan Modal Asing Di Indonesia.”","plainTextFormattedCitation":"Putra, “Eksekusi Putusan Pailit Atas Perusahaan Modal Asing Di Indonesia.”","previouslyFormattedCitation":"Putra, “Eksekusi Putusan Pailit Atas Perusahaan Modal Asing Di Indonesia.”"},"properties":{"noteIndex":14},"schema":"https://github.com/citation-style-language/schema/raw/master/csl-citation.json"}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Putra, "Execution of Bankruptcy Judgment on Foreign Capital Companies in Indonesia."</w:t>
      </w:r>
      <w:r w:rsidRPr="00203CAF">
        <w:rPr>
          <w:rFonts w:ascii="Times New Roman" w:hAnsi="Times New Roman" w:cs="Times New Roman"/>
        </w:rPr>
        <w:fldChar w:fldCharType="end"/>
      </w:r>
    </w:p>
  </w:footnote>
  <w:footnote w:id="12">
    <w:p w14:paraId="483085F0" w14:textId="12D9617E"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{"citationItems":[{"id":"ITEM-1","itemData":{"DOI":"10.47006/ijierm.v5i3.275","ISSN":"2656-3630","abstract":"The resolution of Cross-Border Insolvency disputes in bankruptcy practice in Indonesia, with a focus on court decision Number 26/PAILIT/2010/PN.Niaga.JKT.PST. This highlights the lack of specific regulations in Indonesian law regarding cross-border bankruptcy, which causes legal uncertainty in resolving such disputes. This research uses a normative juridical approach to examine the application of rules and norms in positive law. The case analysis includes a bankruptcy petition against Manwani Santosh Tekchand filed by OCBC Securities Private Limited, which raises issues regarding the evidentiary strength of the special power of attorney granted to the Attorney. This article emphasizes the importance of clear rules and legal certainty to protect creditor rights and facilitate the execution of debtor assets. The court decisions discussed in this article highlight the legal implications of cross-border bankruptcy resolution, stating that foreign court decisions can be valid and convincing evidence regarding debts and the relationship between debtors and creditors if they meet formal requirements as authentic deeds. However, foreign court decisions cannot be recognized and implemented by Indonesian courts unless there is a ratified convention or the principle of reciprocity. The article concludes that the resolution of cross-border bankruptcy disputes in bankruptcy practice in Indonesia is limited by existing regulations and suggests the possibility of litigation or filing new bankruptcy applications based on debt instruments.","author":[{"dropping-particle":"","family":"Dzaky","given":"Muhammad","non-dropping-particle":"","parse-names":false,"suffix":""},{"dropping-particle":"","family":"Santoso","given":"Budi","non-dropping-particle":"","parse-names":false,"suffix":""},{"dropping-particle":"","family":"Widhiyanti","given":"Hanif Nur","non-dropping-particle":"","parse-names":false,"suffix":""}],"container-title":"International Journal of Islamic Education, Research and Multiculturalism (IJIERM)","id":"ITEM-1","issue":"3","issued":{"date-parts":[["2023"]]},"page":"825-843","title":"Analysis Of Cross-Border Insolvency Dispute Resolution In Insolvency Practice In Indonesia","type":"article-journal","volume":"5"},"uris":["http://www.mendeley.com/documents/?uuid=69d99389-7b15-40e2-95a3-df436d084705"]}],"mendeley":{"formattedCitation":"Muhammad Dzaky, Budi Santoso, and Hanif Nur Widhiyanti, “Analysis Of Cross-Border Insolvency Dispute Resolution In Insolvency Practice In Indonesia,” &lt;i&gt;International Journal of Islamic Education, Research and Multiculturalism (IJIERM)&lt;/i&gt; 5, no. 3 (2023): 825–43, https://doi.org/10.47006/ijierm.v5i3.275.","plainTextFormattedCitation":"Muhammad Dzaky, Budi Santoso, and Hanif Nur Widhiyanti, “Analysis Of Cross-Border Insolvency Dispute Resolution In Insolvency Practice In Indonesia,” International Journal of Islamic Education, Research and Multiculturalism (IJIERM) 5, no. 3 (2023): 825–43, https://doi.org/10.47006/ijierm.v5i3.275.","previouslyFormattedCitation":"Muhammad Dzaky, Budi Santoso, and Hanif Nur Widhiyanti, “Analysis Of Cross-Border Insolvency Dispute Resolution In Insolvency Practice In Indonesia,” &lt;i&gt;International Journal of Islamic Education, Research and Multiculturalism (IJIERM)&lt;/i&gt; 5, no. 3 (2023): 825–43, https://doi.org/10.47006/ijierm.v5i3.275."},"properties":{"noteIndex":15},"schema":"https://github.com/citation-style-language/schema/raw/master/csl-citation.json"}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Muhammad Dzaky, Budi Santoso, and Hanif Nur Widhiyanti, “Analysis Of Cross-Border Insolvency Dispute Resolution In Insolvency Practice In Indonesia,” </w:t>
      </w:r>
      <w:r w:rsidRPr="00203CAF">
        <w:rPr>
          <w:rFonts w:ascii="Times New Roman" w:hAnsi="Times New Roman" w:cs="Times New Roman"/>
          <w:i/>
          <w:noProof/>
        </w:rPr>
        <w:t>International Journal of Islamic Education, Research and Multiculturalism (IJIERM)</w:t>
      </w:r>
      <w:r w:rsidRPr="00203CAF">
        <w:rPr>
          <w:rFonts w:ascii="Times New Roman" w:hAnsi="Times New Roman" w:cs="Times New Roman"/>
          <w:noProof/>
        </w:rPr>
        <w:t xml:space="preserve"> 5, no. 3 (2023): 825–43, https://doi.org/10.47006/ijierm.v5i3.275.</w:t>
      </w:r>
      <w:r w:rsidRPr="00203CAF">
        <w:rPr>
          <w:rFonts w:ascii="Times New Roman" w:hAnsi="Times New Roman" w:cs="Times New Roman"/>
        </w:rPr>
        <w:fldChar w:fldCharType="end"/>
      </w:r>
    </w:p>
  </w:footnote>
  <w:footnote w:id="13">
    <w:p w14:paraId="039E8454" w14:textId="34F6E0E9"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00A00788" w:rsidRPr="00A00788">
        <w:rPr>
          <w:rFonts w:ascii="Times New Roman" w:hAnsi="Times New Roman" w:cs="Times New Roman"/>
        </w:rPr>
        <w:fldChar w:fldCharType="begin" w:fldLock="1"/>
      </w:r>
      <w:r w:rsidR="00A00788" w:rsidRPr="00A00788">
        <w:rPr>
          <w:rFonts w:ascii="Times New Roman" w:hAnsi="Times New Roman" w:cs="Times New Roman"/>
        </w:rPr>
        <w:instrText>ADDIN CSL_CITATION {"citationItems":[{"id":"ITEM-1","itemData":{"abstract":"This study examines the issue of cross-border insolvency in the context of Indonesian bankruptcy law, particularly the limitations of national law in handling cases involving foreign elements such as assets or creditors outside Indonesia. Although Law Number 37 of 2004 contains universal principles, its implementation is hindered by Indonesia's adherence to the principle of territoriality and the absence of international agreements on mutual recognition and enforcement of foreign bankruptcy decisions. This normative legal research employs statutory and conceptual approaches to analyze the legal framework and principles relevant to cross-border insolvency. The findings show that Indonesian bankruptcy rulings currently have limited extraterritorial effect and cannot be directly enforced abroad without proper international legal instruments. To overcome these limitations, the adoption of the UNCITRAL Model Law on Cross-Border Insolvency is deemed necessary, along with efforts to establish bilateral or multilateral agreements. Such steps are expected to enhance legal certainty, protect creditors' rights, and improve Indonesia's insolvency regime in the context of global commerce.","author":[{"dropping-particle":"","family":"Bauw","given":"Elirica Aliyah Irwan","non-dropping-particle":"","parse-names":false,"suffix":""},{"dropping-particle":"","family":"Nurkhaerani","given":"Ema","non-dropping-particle":"","parse-names":false,"suffix":""}],"container-title":"Politik dan Hukum Indonesia","id":"ITEM-1","issue":"3","issued":{"date-parts":[["2025"]]},"page":"60-70","title":"Keterbatasan Kekuatan Eksekutorial Putusan Pailit Indonesia dalam Perkara Kepailitan Lintas Negara","type":"article-journal","volume":"2"},"uris":["http://www.mendeley.com/documents/?uuid=dbd305e5-7c82-4049-bc4e-b52d296167b9"]}],"mendeley":{"formattedCitation":"Elirica Aliyah Irwan Bauw and Ema Nurkhaerani, “Keterbatasan Kekuatan Eksekutorial Putusan Pailit Indonesia Dalam Perkara Kepailitan Lintas Negara,” &lt;i&gt;Politik Dan Hukum Indonesia&lt;/i&gt; 2, no. 3 (2025): 60–70, https://doi.org/10.62383/amandemen.v2i3.966.","plainTextFormattedCitation":"Elirica Aliyah Irwan Bauw and Ema Nurkhaerani, “Keterbatasan Kekuatan Eksekutorial Putusan Pailit Indonesia Dalam Perkara Kepailitan Lintas Negara,” Politik Dan Hukum Indonesia 2, no. 3 (2025): 60–70, https://doi.org/10.62383/amandemen.v2i3.966.","previouslyFormattedCitation":"Elirica Aliyah Irwan Bauw and Ema Nurkhaerani, “Keterbatasan Kekuatan Eksekutorial Putusan Pailit Indonesia Dalam Perkara Kepailitan Lintas Negara,” &lt;i&gt;Politik Dan Hukum Indonesia&lt;/i&gt; 2, no. 3 (2025): 60–70, https://doi.org/10.62383/amandemen.v2i3.966."},"properties":{"noteIndex":18},"schema":"https://github.com/citation-style-language/schema/raw/master/csl-citation.json"}</w:instrText>
      </w:r>
      <w:r w:rsidR="00A00788" w:rsidRPr="00A00788">
        <w:rPr>
          <w:rFonts w:ascii="Times New Roman" w:hAnsi="Times New Roman" w:cs="Times New Roman"/>
        </w:rPr>
        <w:fldChar w:fldCharType="separate"/>
      </w:r>
      <w:r w:rsidR="00A00788" w:rsidRPr="00A00788">
        <w:rPr>
          <w:rFonts w:ascii="Times New Roman" w:hAnsi="Times New Roman" w:cs="Times New Roman"/>
        </w:rPr>
        <w:t xml:space="preserve">Elirica Aliyah Irwan Bauw and Ema Nurkhaerani, “Keterbatasan Kekuatan Eksekutorial Putusan Pailit Indonesia Dalam Perkara Kepailitan Lintas Negara,” </w:t>
      </w:r>
      <w:r w:rsidR="00A00788" w:rsidRPr="00A00788">
        <w:rPr>
          <w:rFonts w:ascii="Times New Roman" w:hAnsi="Times New Roman" w:cs="Times New Roman"/>
          <w:i/>
        </w:rPr>
        <w:t>Politik Dan Hukum Indonesia</w:t>
      </w:r>
      <w:r w:rsidR="00A00788" w:rsidRPr="00A00788">
        <w:rPr>
          <w:rFonts w:ascii="Times New Roman" w:hAnsi="Times New Roman" w:cs="Times New Roman"/>
        </w:rPr>
        <w:t xml:space="preserve"> 2, no. 3 (2025): 60–70, https://doi.org/10.62383/amandemen.v2i3.966.</w:t>
      </w:r>
      <w:r w:rsidR="00A00788" w:rsidRPr="00A00788">
        <w:rPr>
          <w:rFonts w:ascii="Times New Roman" w:hAnsi="Times New Roman" w:cs="Times New Roman"/>
        </w:rPr>
        <w:fldChar w:fldCharType="end"/>
      </w:r>
    </w:p>
  </w:footnote>
  <w:footnote w:id="14">
    <w:p w14:paraId="3D30AA10" w14:textId="5F8DC8A1"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{"citationItems":[{"id":"ITEM-1","itemData":{"DOI":"10.30659/ldj.6.2.180-199","abstract":"The lack of cross-border insolvency regulation in Indonesia is an issue that hasn't been resolved until now. Borderless business patterns that developed continuously resulted in the promulgation of cross-border insolvency regulations becoming increasingly urgent. Even more, Indonesia as a member state of ASEAN must be fully aware that currently there is a process of economic integration in ASEAN as outlined in the ASEAN Economic Community Blueprint. In consequence, harmonious cross-border insolvency regulations are needed. Philippines, Singapore, and Myanmar already had cross-border insolvency regulation through the adoption of the UNCITRAL Model Law on Cross-border Insolvency while Indonesia still stuck to territorialism approach, not only in cross border insolvency proceeding, but also in civil proceedings in general. Indonesia has to synchronize civil code, civil procedural code, international civil code, and bankruptcy code to create legal certainty in bankruptcy law system. Therefore, in this article writing, there are several approaches that will be used, namely the comparative approach and statutory approach, with the research method of normative juridical. The objectives to be achieved in this article are to construct the lack of cross-border insolvency regulation in Indonesia and to describe cross-border insolvency regulation and practices in Philippines, Singapore, and Myanmar. At the end of this article, there is a recommendation to the Indonesian Government to immediately regulate cross-border insolvency in Indonesia, either by adoption of Model Law or by mutual agreement with certain countries.","author":[{"dropping-particle":"","family":"Andrian","given":"","non-dropping-particle":"","parse-names":false,"suffix":""},{"dropping-particle":"","family":"Lie","given":"Gunardi","non-dropping-particle":"","parse-names":false,"suffix":""}],"container-title":"Law Development Journal","id":"ITEM-1","issue":"2","issued":{"date-parts":[["2024"]]},"page":"180","title":"The Cross-border Insolvency Provision as Ius Contituendum of Bankruptcy Act of Indonesia","type":"article-journal","volume":"6"},"uris":["http://www.mendeley.com/documents/?uuid=189c0d8b-1562-49b1-b018-7b35d3bf5910"]}],"mendeley":{"formattedCitation":"Andrian and Gunardi Lie, “The Cross-Border Insolvency Provision as Ius Contituendum of Bankruptcy Act of Indonesia,” &lt;i&gt;Law Development Journal&lt;/i&gt; 6, no. 2 (2024): 180, https://doi.org/10.30659/ldj.6.2.180-199.","plainTextFormattedCitation":"Andrian and Gunardi Lie, “The Cross-Border Insolvency Provision as Ius Contituendum of Bankruptcy Act of Indonesia,” Law Development Journal 6, no. 2 (2024): 180, https://doi.org/10.30659/ldj.6.2.180-199.","previouslyFormattedCitation":"Andrian and Gunardi Lie, “The Cross-Border Insolvency Provision as Ius Contituendum of Bankruptcy Act of Indonesia,” &lt;i&gt;Law Development Journal&lt;/i&gt; 6, no. 2 (2024): 180, https://doi.org/10.30659/ldj.6.2.180-199."},"properties":{"noteIndex":19},"schema":"https://github.com/citation-style-language/schema/raw/master/csl-citation.json"}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Andrian and Gunardi Lie, “The Cross-Border Insolvency Provision as Ius Contituendum of Bankruptcy Act of Indonesia,” </w:t>
      </w:r>
      <w:r w:rsidRPr="00203CAF">
        <w:rPr>
          <w:rFonts w:ascii="Times New Roman" w:hAnsi="Times New Roman" w:cs="Times New Roman"/>
          <w:i/>
          <w:noProof/>
        </w:rPr>
        <w:t>Law Development Journal</w:t>
      </w:r>
      <w:r w:rsidRPr="00203CAF">
        <w:rPr>
          <w:rFonts w:ascii="Times New Roman" w:hAnsi="Times New Roman" w:cs="Times New Roman"/>
          <w:noProof/>
        </w:rPr>
        <w:t xml:space="preserve"> 6, no. 2 (2024): 180, https://doi.org/10.30659/ldj.6.2.180-199.</w:t>
      </w:r>
      <w:r w:rsidRPr="00203CAF">
        <w:rPr>
          <w:rFonts w:ascii="Times New Roman" w:hAnsi="Times New Roman" w:cs="Times New Roman"/>
        </w:rPr>
        <w:fldChar w:fldCharType="end"/>
      </w:r>
    </w:p>
  </w:footnote>
  <w:footnote w:id="15">
    <w:p w14:paraId="0A4792D1" w14:textId="53FAB18A" w:rsidR="00203CAF" w:rsidRPr="00203CAF" w:rsidRDefault="00203CAF" w:rsidP="00A00788">
      <w:pPr>
        <w:pStyle w:val="FootnoteText"/>
        <w:ind w:firstLine="284"/>
        <w:jc w:val="both"/>
        <w:rPr>
          <w:rFonts w:ascii="Times New Roman" w:hAnsi="Times New Roman" w:cs="Times New Roman"/>
          <w:lang w:val="en-US"/>
        </w:rPr>
      </w:pPr>
      <w:r w:rsidRPr="00203CAF">
        <w:rPr>
          <w:rStyle w:val="FootnoteReference"/>
          <w:rFonts w:ascii="Times New Roman" w:hAnsi="Times New Roman" w:cs="Times New Roman"/>
        </w:rPr>
        <w:footnoteRef/>
      </w:r>
      <w:r w:rsidRPr="00203CAF">
        <w:rPr>
          <w:rFonts w:ascii="Times New Roman" w:hAnsi="Times New Roman" w:cs="Times New Roman"/>
        </w:rPr>
        <w:t xml:space="preserve"> </w:t>
      </w:r>
      <w:r w:rsidRPr="00203CAF">
        <w:rPr>
          <w:rFonts w:ascii="Times New Roman" w:hAnsi="Times New Roman" w:cs="Times New Roman"/>
        </w:rPr>
        <w:fldChar w:fldCharType="begin" w:fldLock="1"/>
      </w:r>
      <w:r>
        <w:rPr>
          <w:rFonts w:ascii="Times New Roman" w:hAnsi="Times New Roman" w:cs="Times New Roman"/>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an…","author":[{"dropping-particle":"","family":"Saputri","given":"Theodora Pritadianing","non-dropping-particle":"","parse-names":false,"suffix":""}],"container-title":"Lex Lectio : Jurnal Kajian Hukum","id":"ITEM-1","issue":"2","issued":{"date-parts":[["2023"]]},"page":"167-186","title":"Indonesia's Bankruptcy Law Reform for Stronger Cross Border Creditors' Protection","type":"article-journal","volume":"2"},"uris":["http://www.mendeley.com/documents/?uuid=2848df10-efef-434f-8b3f-27a6b789582d"]}],"mendeley":{"formattedCitation":"Theodora Pritadianing Saputri, “Indonesia’s Bankruptcy Law Reform for Stronger Cross Border Creditors’ Protection,” &lt;i&gt;Lex Lectio : Jurnal Kajian Hukum&lt;/i&gt; 2, no. 2 (2023): 167–86.","plainTextFormattedCitation":"Theodora Pritadianing Saputri, “Indonesia’s Bankruptcy Law Reform for Stronger Cross Border Creditors’ Protection,” Lex Lectio : Jurnal Kajian Hukum 2, no. 2 (2023): 167–86.","previouslyFormattedCitation":"Theodora Pritadianing Saputri, “Indonesia’s Bankruptcy Law Reform for Stronger Cross Border Creditors’ Protection,” &lt;i&gt;Lex Lectio : Jurnal Kajian Hukum&lt;/i&gt; 2, no. 2 (2023): 167–86."},"properties":{"noteIndex":20},"schema":"https://github.com/citation-style-language/schema/raw/master/csl-citation.json"}</w:instrText>
      </w:r>
      <w:r w:rsidRPr="00203CAF">
        <w:rPr>
          <w:rFonts w:ascii="Times New Roman" w:hAnsi="Times New Roman" w:cs="Times New Roman"/>
        </w:rPr>
        <w:fldChar w:fldCharType="separate"/>
      </w:r>
      <w:r w:rsidRPr="00203CAF">
        <w:rPr>
          <w:rFonts w:ascii="Times New Roman" w:hAnsi="Times New Roman" w:cs="Times New Roman"/>
          <w:noProof/>
        </w:rPr>
        <w:t xml:space="preserve">Theodora Pritadianing Saputri, “Indonesia’s Bankruptcy Law Reform for Stronger Cross Border Creditors’ Protection,” </w:t>
      </w:r>
      <w:r w:rsidRPr="00203CAF">
        <w:rPr>
          <w:rFonts w:ascii="Times New Roman" w:hAnsi="Times New Roman" w:cs="Times New Roman"/>
          <w:i/>
          <w:noProof/>
        </w:rPr>
        <w:t>Lex Lectio : Journal of Legal Studies</w:t>
      </w:r>
      <w:r w:rsidRPr="00203CAF">
        <w:rPr>
          <w:rFonts w:ascii="Times New Roman" w:hAnsi="Times New Roman" w:cs="Times New Roman"/>
          <w:noProof/>
        </w:rPr>
        <w:t xml:space="preserve"> 2, no. 2 (2023): 167–86.</w:t>
      </w:r>
      <w:r w:rsidRPr="00203CAF">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19CA6" w14:textId="77777777" w:rsidR="003349A1" w:rsidRPr="000B69F3" w:rsidRDefault="003349A1" w:rsidP="003349A1">
    <w:pPr>
      <w:pStyle w:val="Header"/>
      <w:rPr>
        <w:rFonts w:ascii="Times New Roman" w:hAnsi="Times New Roman" w:cs="Times New Roman"/>
        <w:b/>
        <w:color w:val="C00000"/>
        <w:sz w:val="30"/>
        <w:szCs w:val="16"/>
        <w:lang w:val="en-GB"/>
      </w:rPr>
    </w:pPr>
    <w:r w:rsidRPr="000B69F3">
      <w:rPr>
        <w:rFonts w:ascii="Times New Roman" w:hAnsi="Times New Roman" w:cs="Times New Roman"/>
        <w:b/>
        <w:color w:val="C00000"/>
        <w:sz w:val="30"/>
        <w:szCs w:val="16"/>
        <w:lang w:val="en-GB"/>
      </w:rPr>
      <w:t xml:space="preserve">MALA IN SE: </w:t>
    </w:r>
    <w:proofErr w:type="spellStart"/>
    <w:r w:rsidRPr="000B69F3">
      <w:rPr>
        <w:rFonts w:ascii="Times New Roman" w:hAnsi="Times New Roman" w:cs="Times New Roman"/>
        <w:b/>
        <w:color w:val="C00000"/>
        <w:sz w:val="30"/>
        <w:szCs w:val="16"/>
        <w:lang w:val="en-GB"/>
      </w:rPr>
      <w:t>Jurnal</w:t>
    </w:r>
    <w:proofErr w:type="spellEnd"/>
    <w:r w:rsidRPr="000B69F3">
      <w:rPr>
        <w:rFonts w:ascii="Times New Roman" w:hAnsi="Times New Roman" w:cs="Times New Roman"/>
        <w:b/>
        <w:color w:val="C00000"/>
        <w:sz w:val="30"/>
        <w:szCs w:val="16"/>
        <w:lang w:val="en-GB"/>
      </w:rPr>
      <w:t xml:space="preserve"> Hukum </w:t>
    </w:r>
    <w:proofErr w:type="spellStart"/>
    <w:r w:rsidRPr="000B69F3">
      <w:rPr>
        <w:rFonts w:ascii="Times New Roman" w:hAnsi="Times New Roman" w:cs="Times New Roman"/>
        <w:b/>
        <w:color w:val="C00000"/>
        <w:sz w:val="30"/>
        <w:szCs w:val="16"/>
        <w:lang w:val="en-GB"/>
      </w:rPr>
      <w:t>Pidana</w:t>
    </w:r>
    <w:proofErr w:type="spellEnd"/>
    <w:r w:rsidRPr="000B69F3">
      <w:rPr>
        <w:rFonts w:ascii="Times New Roman" w:hAnsi="Times New Roman" w:cs="Times New Roman"/>
        <w:b/>
        <w:color w:val="C00000"/>
        <w:sz w:val="30"/>
        <w:szCs w:val="16"/>
        <w:lang w:val="en-GB"/>
      </w:rPr>
      <w:t xml:space="preserve">, </w:t>
    </w:r>
    <w:proofErr w:type="spellStart"/>
    <w:r w:rsidRPr="000B69F3">
      <w:rPr>
        <w:rFonts w:ascii="Times New Roman" w:hAnsi="Times New Roman" w:cs="Times New Roman"/>
        <w:b/>
        <w:color w:val="C00000"/>
        <w:sz w:val="30"/>
        <w:szCs w:val="16"/>
        <w:lang w:val="en-GB"/>
      </w:rPr>
      <w:t>Kriminologi</w:t>
    </w:r>
    <w:proofErr w:type="spellEnd"/>
    <w:r w:rsidRPr="000B69F3">
      <w:rPr>
        <w:rFonts w:ascii="Times New Roman" w:hAnsi="Times New Roman" w:cs="Times New Roman"/>
        <w:b/>
        <w:color w:val="C00000"/>
        <w:sz w:val="30"/>
        <w:szCs w:val="16"/>
        <w:lang w:val="en-GB"/>
      </w:rPr>
      <w:t xml:space="preserve"> dan </w:t>
    </w:r>
    <w:proofErr w:type="spellStart"/>
    <w:r w:rsidRPr="000B69F3">
      <w:rPr>
        <w:rFonts w:ascii="Times New Roman" w:hAnsi="Times New Roman" w:cs="Times New Roman"/>
        <w:b/>
        <w:color w:val="C00000"/>
        <w:sz w:val="30"/>
        <w:szCs w:val="16"/>
        <w:lang w:val="en-GB"/>
      </w:rPr>
      <w:t>Viktimologi</w:t>
    </w:r>
    <w:proofErr w:type="spellEnd"/>
  </w:p>
  <w:p w14:paraId="1DE34D45" w14:textId="77777777" w:rsidR="003349A1" w:rsidRDefault="003349A1" w:rsidP="003349A1">
    <w:pPr>
      <w:pStyle w:val="Header"/>
      <w:rPr>
        <w:rFonts w:ascii="Times New Roman" w:hAnsi="Times New Roman" w:cs="Times New Roman"/>
        <w:i/>
        <w:sz w:val="16"/>
        <w:szCs w:val="16"/>
        <w:lang w:val="en-GB"/>
      </w:rPr>
    </w:pPr>
    <w:r w:rsidRPr="000B69F3">
      <w:rPr>
        <w:rFonts w:ascii="Times New Roman" w:hAnsi="Times New Roman" w:cs="Times New Roman"/>
        <w:i/>
        <w:sz w:val="16"/>
        <w:szCs w:val="16"/>
        <w:lang w:val="en-GB"/>
      </w:rPr>
      <w:t xml:space="preserve">Volume </w:t>
    </w:r>
    <w:r>
      <w:rPr>
        <w:rFonts w:ascii="Times New Roman" w:hAnsi="Times New Roman" w:cs="Times New Roman"/>
        <w:i/>
        <w:sz w:val="16"/>
        <w:szCs w:val="16"/>
        <w:lang w:val="en-GB"/>
      </w:rPr>
      <w:t>3</w:t>
    </w:r>
    <w:r w:rsidRPr="000B69F3">
      <w:rPr>
        <w:rFonts w:ascii="Times New Roman" w:hAnsi="Times New Roman" w:cs="Times New Roman"/>
        <w:i/>
        <w:sz w:val="16"/>
        <w:szCs w:val="16"/>
        <w:lang w:val="en-GB"/>
      </w:rPr>
      <w:t xml:space="preserve"> </w:t>
    </w:r>
    <w:proofErr w:type="spellStart"/>
    <w:r w:rsidRPr="000B69F3">
      <w:rPr>
        <w:rFonts w:ascii="Times New Roman" w:hAnsi="Times New Roman" w:cs="Times New Roman"/>
        <w:i/>
        <w:sz w:val="16"/>
        <w:szCs w:val="16"/>
        <w:lang w:val="en-GB"/>
      </w:rPr>
      <w:t>Nomor</w:t>
    </w:r>
    <w:proofErr w:type="spellEnd"/>
    <w:r w:rsidRPr="000B69F3">
      <w:rPr>
        <w:rFonts w:ascii="Times New Roman" w:hAnsi="Times New Roman" w:cs="Times New Roman"/>
        <w:i/>
        <w:sz w:val="16"/>
        <w:szCs w:val="16"/>
        <w:lang w:val="en-GB"/>
      </w:rPr>
      <w:t xml:space="preserve"> </w:t>
    </w:r>
    <w:r>
      <w:rPr>
        <w:rFonts w:ascii="Times New Roman" w:hAnsi="Times New Roman" w:cs="Times New Roman"/>
        <w:i/>
        <w:sz w:val="16"/>
        <w:szCs w:val="16"/>
        <w:lang w:val="en-GB"/>
      </w:rPr>
      <w:t>1</w:t>
    </w:r>
    <w:r w:rsidRPr="000B69F3">
      <w:rPr>
        <w:rFonts w:ascii="Times New Roman" w:hAnsi="Times New Roman" w:cs="Times New Roman"/>
        <w:i/>
        <w:sz w:val="16"/>
        <w:szCs w:val="16"/>
        <w:lang w:val="en-GB"/>
      </w:rPr>
      <w:t xml:space="preserve"> </w:t>
    </w:r>
    <w:r>
      <w:rPr>
        <w:rFonts w:ascii="Times New Roman" w:hAnsi="Times New Roman" w:cs="Times New Roman"/>
        <w:i/>
        <w:sz w:val="16"/>
        <w:szCs w:val="16"/>
        <w:lang w:val="en-GB"/>
      </w:rPr>
      <w:t>April</w:t>
    </w:r>
    <w:r w:rsidRPr="000B69F3">
      <w:rPr>
        <w:rFonts w:ascii="Times New Roman" w:hAnsi="Times New Roman" w:cs="Times New Roman"/>
        <w:i/>
        <w:sz w:val="16"/>
        <w:szCs w:val="16"/>
        <w:lang w:val="en-GB"/>
      </w:rPr>
      <w:t xml:space="preserve"> 202</w:t>
    </w:r>
    <w:r>
      <w:rPr>
        <w:rFonts w:ascii="Times New Roman" w:hAnsi="Times New Roman" w:cs="Times New Roman"/>
        <w:i/>
        <w:sz w:val="16"/>
        <w:szCs w:val="16"/>
        <w:lang w:val="en-GB"/>
      </w:rPr>
      <w:t>6</w:t>
    </w:r>
  </w:p>
  <w:p w14:paraId="3418160D" w14:textId="77777777" w:rsidR="003349A1" w:rsidRDefault="003349A1" w:rsidP="003349A1">
    <w:pPr>
      <w:pStyle w:val="Header"/>
      <w:rPr>
        <w:rFonts w:ascii="Times New Roman" w:hAnsi="Times New Roman" w:cs="Times New Roman"/>
        <w:sz w:val="16"/>
        <w:szCs w:val="16"/>
        <w:lang w:val="en-GB"/>
      </w:rPr>
    </w:pPr>
    <w:r>
      <w:rPr>
        <w:rFonts w:ascii="Times New Roman" w:hAnsi="Times New Roman" w:cs="Times New Roman"/>
        <w:sz w:val="16"/>
        <w:szCs w:val="16"/>
        <w:lang w:val="en-GB"/>
      </w:rPr>
      <w:t>E-ISSN 3063-2293</w:t>
    </w:r>
  </w:p>
  <w:p w14:paraId="1B12BD3A" w14:textId="77777777" w:rsidR="003349A1" w:rsidRDefault="003349A1" w:rsidP="003349A1">
    <w:pPr>
      <w:pStyle w:val="Header"/>
      <w:rPr>
        <w:rFonts w:ascii="Times New Roman" w:hAnsi="Times New Roman" w:cs="Times New Roman"/>
        <w:sz w:val="16"/>
        <w:szCs w:val="16"/>
        <w:lang w:val="en-GB"/>
      </w:rPr>
    </w:pPr>
    <w:r>
      <w:rPr>
        <w:rFonts w:ascii="Times New Roman" w:hAnsi="Times New Roman" w:cs="Times New Roman"/>
        <w:sz w:val="16"/>
        <w:szCs w:val="16"/>
        <w:lang w:val="en-GB"/>
      </w:rPr>
      <w:t>https://jurnal.dokterlaw.com/index.php/malainse</w:t>
    </w:r>
  </w:p>
  <w:p w14:paraId="25DF112B" w14:textId="44BA2A55" w:rsidR="006D0F09" w:rsidRDefault="006D0F0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75D20"/>
    <w:multiLevelType w:val="multilevel"/>
    <w:tmpl w:val="B00E86E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CD00E2"/>
    <w:multiLevelType w:val="multilevel"/>
    <w:tmpl w:val="41CA3832"/>
    <w:lvl w:ilvl="0">
      <w:start w:val="1"/>
      <w:numFmt w:val="upperLetter"/>
      <w:lvlText w:val="%1."/>
      <w:lvlJc w:val="left"/>
      <w:pPr>
        <w:ind w:left="720" w:hanging="360"/>
      </w:p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00995369">
    <w:abstractNumId w:val="1"/>
  </w:num>
  <w:num w:numId="2" w16cid:durableId="88933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F09"/>
    <w:rsid w:val="000342C3"/>
    <w:rsid w:val="0003773B"/>
    <w:rsid w:val="000525E5"/>
    <w:rsid w:val="00072E9E"/>
    <w:rsid w:val="00105C1F"/>
    <w:rsid w:val="00164E8B"/>
    <w:rsid w:val="00203CAF"/>
    <w:rsid w:val="0025087F"/>
    <w:rsid w:val="002A2FCB"/>
    <w:rsid w:val="002B22B6"/>
    <w:rsid w:val="002B6BCF"/>
    <w:rsid w:val="00305DDD"/>
    <w:rsid w:val="003349A1"/>
    <w:rsid w:val="003603C9"/>
    <w:rsid w:val="00397B48"/>
    <w:rsid w:val="003F6344"/>
    <w:rsid w:val="00415731"/>
    <w:rsid w:val="005625E7"/>
    <w:rsid w:val="00570C1D"/>
    <w:rsid w:val="0057427C"/>
    <w:rsid w:val="00642641"/>
    <w:rsid w:val="006542CC"/>
    <w:rsid w:val="00696ECB"/>
    <w:rsid w:val="006D0F09"/>
    <w:rsid w:val="006E08FB"/>
    <w:rsid w:val="00713827"/>
    <w:rsid w:val="00807E37"/>
    <w:rsid w:val="008E7642"/>
    <w:rsid w:val="008F141C"/>
    <w:rsid w:val="008F49AA"/>
    <w:rsid w:val="00977A22"/>
    <w:rsid w:val="00987941"/>
    <w:rsid w:val="009F6D04"/>
    <w:rsid w:val="00A00788"/>
    <w:rsid w:val="00A016E1"/>
    <w:rsid w:val="00AB6A12"/>
    <w:rsid w:val="00AC3A5E"/>
    <w:rsid w:val="00B0793C"/>
    <w:rsid w:val="00B312A9"/>
    <w:rsid w:val="00B33B23"/>
    <w:rsid w:val="00BF54A7"/>
    <w:rsid w:val="00C71A51"/>
    <w:rsid w:val="00CB3689"/>
    <w:rsid w:val="00CC4B52"/>
    <w:rsid w:val="00D72400"/>
    <w:rsid w:val="00D74C53"/>
    <w:rsid w:val="00D91069"/>
    <w:rsid w:val="00DC1F49"/>
    <w:rsid w:val="00DC2B69"/>
    <w:rsid w:val="00E1336E"/>
    <w:rsid w:val="00E325C2"/>
    <w:rsid w:val="00E83F0C"/>
    <w:rsid w:val="00F252C1"/>
    <w:rsid w:val="00F26319"/>
    <w:rsid w:val="00F45C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20447"/>
  <w15:docId w15:val="{5BC53A7A-3FFD-440B-A5DF-C63387F4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397B48"/>
    <w:rPr>
      <w:color w:val="0000FF" w:themeColor="hyperlink"/>
      <w:u w:val="single"/>
    </w:rPr>
  </w:style>
  <w:style w:type="character" w:customStyle="1" w:styleId="UnresolvedMention1">
    <w:name w:val="Unresolved Mention1"/>
    <w:basedOn w:val="DefaultParagraphFont"/>
    <w:uiPriority w:val="99"/>
    <w:semiHidden/>
    <w:unhideWhenUsed/>
    <w:rsid w:val="00397B48"/>
    <w:rPr>
      <w:color w:val="605E5C"/>
      <w:shd w:val="clear" w:color="auto" w:fill="E1DFDD"/>
    </w:rPr>
  </w:style>
  <w:style w:type="paragraph" w:styleId="FootnoteText">
    <w:name w:val="footnote text"/>
    <w:basedOn w:val="Normal"/>
    <w:link w:val="FootnoteTextChar"/>
    <w:uiPriority w:val="99"/>
    <w:semiHidden/>
    <w:unhideWhenUsed/>
    <w:rsid w:val="00203C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CAF"/>
    <w:rPr>
      <w:sz w:val="20"/>
      <w:szCs w:val="20"/>
    </w:rPr>
  </w:style>
  <w:style w:type="character" w:styleId="FootnoteReference">
    <w:name w:val="footnote reference"/>
    <w:basedOn w:val="DefaultParagraphFont"/>
    <w:uiPriority w:val="99"/>
    <w:semiHidden/>
    <w:unhideWhenUsed/>
    <w:rsid w:val="00203CAF"/>
    <w:rPr>
      <w:vertAlign w:val="superscript"/>
    </w:rPr>
  </w:style>
  <w:style w:type="paragraph" w:styleId="Header">
    <w:name w:val="header"/>
    <w:basedOn w:val="Normal"/>
    <w:link w:val="HeaderChar"/>
    <w:uiPriority w:val="99"/>
    <w:unhideWhenUsed/>
    <w:rsid w:val="00642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641"/>
  </w:style>
  <w:style w:type="paragraph" w:styleId="Footer">
    <w:name w:val="footer"/>
    <w:basedOn w:val="Normal"/>
    <w:link w:val="FooterChar"/>
    <w:uiPriority w:val="99"/>
    <w:unhideWhenUsed/>
    <w:rsid w:val="00642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641"/>
  </w:style>
  <w:style w:type="character" w:styleId="PlaceholderText">
    <w:name w:val="Placeholder Text"/>
    <w:basedOn w:val="DefaultParagraphFont"/>
    <w:uiPriority w:val="99"/>
    <w:semiHidden/>
    <w:rsid w:val="00164E8B"/>
    <w:rPr>
      <w:color w:val="666666"/>
    </w:rPr>
  </w:style>
  <w:style w:type="character" w:styleId="UnresolvedMention">
    <w:name w:val="Unresolved Mention"/>
    <w:basedOn w:val="DefaultParagraphFont"/>
    <w:uiPriority w:val="99"/>
    <w:semiHidden/>
    <w:unhideWhenUsed/>
    <w:rsid w:val="00164E8B"/>
    <w:rPr>
      <w:color w:val="605E5C"/>
      <w:shd w:val="clear" w:color="auto" w:fill="E1DFDD"/>
    </w:rPr>
  </w:style>
  <w:style w:type="table" w:styleId="TableGrid">
    <w:name w:val="Table Grid"/>
    <w:basedOn w:val="TableNormal"/>
    <w:uiPriority w:val="39"/>
    <w:rsid w:val="003349A1"/>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71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909998">
      <w:bodyDiv w:val="1"/>
      <w:marLeft w:val="0"/>
      <w:marRight w:val="0"/>
      <w:marTop w:val="0"/>
      <w:marBottom w:val="0"/>
      <w:divBdr>
        <w:top w:val="none" w:sz="0" w:space="0" w:color="auto"/>
        <w:left w:val="none" w:sz="0" w:space="0" w:color="auto"/>
        <w:bottom w:val="none" w:sz="0" w:space="0" w:color="auto"/>
        <w:right w:val="none" w:sz="0" w:space="0" w:color="auto"/>
      </w:divBdr>
      <w:divsChild>
        <w:div w:id="96560886">
          <w:marLeft w:val="0"/>
          <w:marRight w:val="0"/>
          <w:marTop w:val="0"/>
          <w:marBottom w:val="0"/>
          <w:divBdr>
            <w:top w:val="none" w:sz="0" w:space="0" w:color="auto"/>
            <w:left w:val="none" w:sz="0" w:space="0" w:color="auto"/>
            <w:bottom w:val="none" w:sz="0" w:space="0" w:color="auto"/>
            <w:right w:val="none" w:sz="0" w:space="0" w:color="auto"/>
          </w:divBdr>
          <w:divsChild>
            <w:div w:id="1129980016">
              <w:marLeft w:val="0"/>
              <w:marRight w:val="0"/>
              <w:marTop w:val="0"/>
              <w:marBottom w:val="0"/>
              <w:divBdr>
                <w:top w:val="none" w:sz="0" w:space="0" w:color="auto"/>
                <w:left w:val="none" w:sz="0" w:space="0" w:color="auto"/>
                <w:bottom w:val="none" w:sz="0" w:space="0" w:color="auto"/>
                <w:right w:val="none" w:sz="0" w:space="0" w:color="auto"/>
              </w:divBdr>
              <w:divsChild>
                <w:div w:id="1663045388">
                  <w:marLeft w:val="0"/>
                  <w:marRight w:val="0"/>
                  <w:marTop w:val="0"/>
                  <w:marBottom w:val="0"/>
                  <w:divBdr>
                    <w:top w:val="none" w:sz="0" w:space="0" w:color="auto"/>
                    <w:left w:val="none" w:sz="0" w:space="0" w:color="auto"/>
                    <w:bottom w:val="none" w:sz="0" w:space="0" w:color="auto"/>
                    <w:right w:val="none" w:sz="0" w:space="0" w:color="auto"/>
                  </w:divBdr>
                  <w:divsChild>
                    <w:div w:id="1857452807">
                      <w:marLeft w:val="0"/>
                      <w:marRight w:val="0"/>
                      <w:marTop w:val="0"/>
                      <w:marBottom w:val="0"/>
                      <w:divBdr>
                        <w:top w:val="none" w:sz="0" w:space="0" w:color="auto"/>
                        <w:left w:val="none" w:sz="0" w:space="0" w:color="auto"/>
                        <w:bottom w:val="none" w:sz="0" w:space="0" w:color="auto"/>
                        <w:right w:val="none" w:sz="0" w:space="0" w:color="auto"/>
                      </w:divBdr>
                      <w:divsChild>
                        <w:div w:id="2124570610">
                          <w:marLeft w:val="0"/>
                          <w:marRight w:val="0"/>
                          <w:marTop w:val="0"/>
                          <w:marBottom w:val="0"/>
                          <w:divBdr>
                            <w:top w:val="none" w:sz="0" w:space="0" w:color="auto"/>
                            <w:left w:val="none" w:sz="0" w:space="0" w:color="auto"/>
                            <w:bottom w:val="none" w:sz="0" w:space="0" w:color="auto"/>
                            <w:right w:val="none" w:sz="0" w:space="0" w:color="auto"/>
                          </w:divBdr>
                          <w:divsChild>
                            <w:div w:id="1236356585">
                              <w:marLeft w:val="0"/>
                              <w:marRight w:val="0"/>
                              <w:marTop w:val="0"/>
                              <w:marBottom w:val="0"/>
                              <w:divBdr>
                                <w:top w:val="none" w:sz="0" w:space="0" w:color="auto"/>
                                <w:left w:val="none" w:sz="0" w:space="0" w:color="auto"/>
                                <w:bottom w:val="none" w:sz="0" w:space="0" w:color="auto"/>
                                <w:right w:val="none" w:sz="0" w:space="0" w:color="auto"/>
                              </w:divBdr>
                              <w:divsChild>
                                <w:div w:id="6499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814801">
      <w:bodyDiv w:val="1"/>
      <w:marLeft w:val="0"/>
      <w:marRight w:val="0"/>
      <w:marTop w:val="0"/>
      <w:marBottom w:val="0"/>
      <w:divBdr>
        <w:top w:val="none" w:sz="0" w:space="0" w:color="auto"/>
        <w:left w:val="none" w:sz="0" w:space="0" w:color="auto"/>
        <w:bottom w:val="none" w:sz="0" w:space="0" w:color="auto"/>
        <w:right w:val="none" w:sz="0" w:space="0" w:color="auto"/>
      </w:divBdr>
    </w:div>
    <w:div w:id="1266037697">
      <w:bodyDiv w:val="1"/>
      <w:marLeft w:val="0"/>
      <w:marRight w:val="0"/>
      <w:marTop w:val="0"/>
      <w:marBottom w:val="0"/>
      <w:divBdr>
        <w:top w:val="none" w:sz="0" w:space="0" w:color="auto"/>
        <w:left w:val="none" w:sz="0" w:space="0" w:color="auto"/>
        <w:bottom w:val="none" w:sz="0" w:space="0" w:color="auto"/>
        <w:right w:val="none" w:sz="0" w:space="0" w:color="auto"/>
      </w:divBdr>
    </w:div>
    <w:div w:id="1475217898">
      <w:bodyDiv w:val="1"/>
      <w:marLeft w:val="0"/>
      <w:marRight w:val="0"/>
      <w:marTop w:val="0"/>
      <w:marBottom w:val="0"/>
      <w:divBdr>
        <w:top w:val="none" w:sz="0" w:space="0" w:color="auto"/>
        <w:left w:val="none" w:sz="0" w:space="0" w:color="auto"/>
        <w:bottom w:val="none" w:sz="0" w:space="0" w:color="auto"/>
        <w:right w:val="none" w:sz="0" w:space="0" w:color="auto"/>
      </w:divBdr>
    </w:div>
    <w:div w:id="1480997675">
      <w:bodyDiv w:val="1"/>
      <w:marLeft w:val="0"/>
      <w:marRight w:val="0"/>
      <w:marTop w:val="0"/>
      <w:marBottom w:val="0"/>
      <w:divBdr>
        <w:top w:val="none" w:sz="0" w:space="0" w:color="auto"/>
        <w:left w:val="none" w:sz="0" w:space="0" w:color="auto"/>
        <w:bottom w:val="none" w:sz="0" w:space="0" w:color="auto"/>
        <w:right w:val="none" w:sz="0" w:space="0" w:color="auto"/>
      </w:divBdr>
    </w:div>
    <w:div w:id="1525746422">
      <w:bodyDiv w:val="1"/>
      <w:marLeft w:val="0"/>
      <w:marRight w:val="0"/>
      <w:marTop w:val="0"/>
      <w:marBottom w:val="0"/>
      <w:divBdr>
        <w:top w:val="none" w:sz="0" w:space="0" w:color="auto"/>
        <w:left w:val="none" w:sz="0" w:space="0" w:color="auto"/>
        <w:bottom w:val="none" w:sz="0" w:space="0" w:color="auto"/>
        <w:right w:val="none" w:sz="0" w:space="0" w:color="auto"/>
      </w:divBdr>
      <w:divsChild>
        <w:div w:id="2025865054">
          <w:marLeft w:val="0"/>
          <w:marRight w:val="0"/>
          <w:marTop w:val="0"/>
          <w:marBottom w:val="0"/>
          <w:divBdr>
            <w:top w:val="none" w:sz="0" w:space="0" w:color="auto"/>
            <w:left w:val="none" w:sz="0" w:space="0" w:color="auto"/>
            <w:bottom w:val="none" w:sz="0" w:space="0" w:color="auto"/>
            <w:right w:val="none" w:sz="0" w:space="0" w:color="auto"/>
          </w:divBdr>
          <w:divsChild>
            <w:div w:id="1758594101">
              <w:marLeft w:val="0"/>
              <w:marRight w:val="0"/>
              <w:marTop w:val="0"/>
              <w:marBottom w:val="0"/>
              <w:divBdr>
                <w:top w:val="none" w:sz="0" w:space="0" w:color="auto"/>
                <w:left w:val="none" w:sz="0" w:space="0" w:color="auto"/>
                <w:bottom w:val="none" w:sz="0" w:space="0" w:color="auto"/>
                <w:right w:val="none" w:sz="0" w:space="0" w:color="auto"/>
              </w:divBdr>
            </w:div>
          </w:divsChild>
        </w:div>
        <w:div w:id="1466846827">
          <w:marLeft w:val="0"/>
          <w:marRight w:val="0"/>
          <w:marTop w:val="0"/>
          <w:marBottom w:val="0"/>
          <w:divBdr>
            <w:top w:val="none" w:sz="0" w:space="0" w:color="auto"/>
            <w:left w:val="none" w:sz="0" w:space="0" w:color="auto"/>
            <w:bottom w:val="none" w:sz="0" w:space="0" w:color="auto"/>
            <w:right w:val="none" w:sz="0" w:space="0" w:color="auto"/>
          </w:divBdr>
          <w:divsChild>
            <w:div w:id="588542329">
              <w:marLeft w:val="0"/>
              <w:marRight w:val="0"/>
              <w:marTop w:val="0"/>
              <w:marBottom w:val="0"/>
              <w:divBdr>
                <w:top w:val="none" w:sz="0" w:space="0" w:color="auto"/>
                <w:left w:val="none" w:sz="0" w:space="0" w:color="auto"/>
                <w:bottom w:val="none" w:sz="0" w:space="0" w:color="auto"/>
                <w:right w:val="none" w:sz="0" w:space="0" w:color="auto"/>
              </w:divBdr>
            </w:div>
          </w:divsChild>
        </w:div>
        <w:div w:id="1440490094">
          <w:marLeft w:val="0"/>
          <w:marRight w:val="0"/>
          <w:marTop w:val="0"/>
          <w:marBottom w:val="0"/>
          <w:divBdr>
            <w:top w:val="none" w:sz="0" w:space="0" w:color="auto"/>
            <w:left w:val="none" w:sz="0" w:space="0" w:color="auto"/>
            <w:bottom w:val="none" w:sz="0" w:space="0" w:color="auto"/>
            <w:right w:val="none" w:sz="0" w:space="0" w:color="auto"/>
          </w:divBdr>
          <w:divsChild>
            <w:div w:id="208741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9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tarbronson7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ooks.google.co.id/books?id=GtznCwAAQBAJ" TargetMode="External"/><Relationship Id="rId4" Type="http://schemas.openxmlformats.org/officeDocument/2006/relationships/settings" Target="settings.xml"/><Relationship Id="rId9" Type="http://schemas.openxmlformats.org/officeDocument/2006/relationships/hyperlink" Target="mailto:lucky_ferdiles@borobudur.ac.id"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46E46-6511-40C3-A71D-76BDFC7D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9</Pages>
  <Words>3341</Words>
  <Characters>19048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JLJ 01</dc:creator>
  <cp:lastModifiedBy>Microsoft Office User</cp:lastModifiedBy>
  <cp:revision>14</cp:revision>
  <dcterms:created xsi:type="dcterms:W3CDTF">2026-03-10T02:34:00Z</dcterms:created>
  <dcterms:modified xsi:type="dcterms:W3CDTF">2026-04-02T09:41:00Z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2eaa0fb2-338f-39d9-9589-14f5be2f7fab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http://www.zotero.org/styles/apa-5th-edition</vt:lpwstr>
  </property>
  <property fmtid="{D5CDD505-2E9C-101B-9397-08002B2CF9AE}" pid="6" name="Mendeley Recent Style Name 0_1">
    <vt:lpwstr>American Psychological Association 5th edition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http://csl.mendeley.com/styles/826637701/apa-6th-edition-8</vt:lpwstr>
  </property>
  <property fmtid="{D5CDD505-2E9C-101B-9397-08002B2CF9AE}" pid="12" name="Mendeley Recent Style Name 3_1">
    <vt:lpwstr>American Psychological Association 6th edition - inoflex 2024 20</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7th edition</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http://www.zotero.org/styles/turabian-fullnote-bibliography-8th-edition</vt:lpwstr>
  </property>
  <property fmtid="{D5CDD505-2E9C-101B-9397-08002B2CF9AE}" pid="20" name="Mendeley Recent Style Name 7_1">
    <vt:lpwstr>Turabian 8th edition (full note)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